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GE.2014.0057 vom 22. Juli 2014</w:t>
      </w:r>
    </w:p>
    <w:p>
      <w:r>
        <w:t>VD Tribunal cantonal, 2014-07-22, FR</w:t>
      </w:r>
    </w:p>
    <w:p>
      <w:r>
        <w:rPr>
          <w:b/>
        </w:rPr>
        <w:t xml:space="preserve">Quelle: </w:t>
      </w:r>
      <w:r>
        <w:t>https://mcp.opencaselaw.ch/entscheid/vd_omni_GE.2014.0057</w:t>
      </w:r>
    </w:p>
    <w:p>
      <w:r>
        <w:t>FR: VD_OMNI GE.2014.0057 du 22 juillet 2014</w:t>
      </w:r>
    </w:p>
    <w:p>
      <w:r>
        <w:t>IT: VD_OMNI GE.2014.0057 del 22 luglio 2014</w:t>
      </w:r>
    </w:p>
    <w:p>
      <w:pPr>
        <w:pStyle w:val="Heading2"/>
      </w:pPr>
      <w:r>
        <w:t>Regeste</w:t>
      </w:r>
    </w:p>
    <w:p>
      <w:r>
        <w:t>X.________ c/Département de la formation, de la jeunesse et de la culture, Direction générale de l'enseignement obligatoire (DGEO), Etablissement primaire et secondaire de Cossonay-Penthalaz, Etablissement primaire &amp; secondaire de la Sarraz-Veyron-Venoge | Confirmation du refus d'une dérogation au principe de la scolarisation au lieu de recrutement. Rappel des travaux préparatoires et casuistique.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de la qualité pour former recours, au sens de l'art. 75 LPA-VD, dans la mesure où, en sa qualité de destinataire de la décision attaquée, elle est atteinte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 Sous la note marginale « Dérogations à l’aire de recrutement à la demande des parents »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Les art. 63 et 64 LEO correspondent en substance aux anciens art. 13 et 14 LS (abrogés par la LEO). La LEO ne contient pas de disposition transitoire à cet égard.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(pour ne citer que les arrêts les plus récents: GE.2013.0205 du 24 mars 2014, consid. 2b; GE.2012.0083 du 26 juillet 2012 consid. 1a; GE.2012.0095 du 20 juillet 2012 consid. 2a; GE.2012.0007 du 13 mars 2012 consid. 2a; GE.2011.0143 du 15 novembre 2011 consid. 2a; GE.2011.0166 du 10 novembre 2011 consid. 4a). c) La cour de céans a développé une abondante jurisprudence sur les conditions qui permettaient, en application de l'ancien art. 14 LS, de déroger au principe de territorialité. aa) Préalablement, on peut rappeler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 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bb)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la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(arrêt GE.2012.0059 du 5 juillet 2012 consid. 2c). Le changement de domicile en cours d'année scolaire ne constitue qu'un exemple de situation pouvant donner lieu à une dérogation. Ce motif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 GE.2012.0059 du 5 juillet 2012 consid. 2d). cc) On peut par ailleurs rappeler la casuistique suivante, tirée de la jurisprudence de la cour de céans: a. Le fait qu’un enfant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b. Une dérogation à la zone de recrutement ne peut en tout cas pas être motivée par le souhait d'un élève de demeurer avec des camarades qu'il connaît depuis longtemps (GE.2007.0095 du 10 août 2007 consid. 2). c. Une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(GE.2012.0007 du 13 mars 2012). d.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e.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dd) Dans le cas présent, les motifs invoqués par la recourante ont trait avant tout à l’organisation familiale et économique sans toutefois revêtir un caractère particulier ou exceptionnel par rapport à la situation de bien d’autres élèves. Le fait que les grands- parents maternels de l’élève habitent à cinq minutes à pieds du collège dans lequel Y.________ aimerait continuer sa scolarité et qu’ils assurent la garde des deux filles du couple, gratuitement et depuis de nombreuses années, ainsi que le fait qu’en raison de leurs horaires de travail, les parents trouvent les enfants prêts à se coucher en rentrant, relèvent plutôt de la convenance personnelle que de circonstances particulières susceptibles de justifier une dérogation à l’enclassement au lieu de domicile. Les dérogations antérieures dont Y.________ a déjà bénéficié ne sauraient davantage fonder une dérogation à l’aire de recrutement des élèves, allant au contraire explicitement à l’encontre de la volonté du législateur telle qu’exprimée lors des travaux préparatoires (cf. consid. 2 c bb) ci-dessus). Il en est de même du fait que Y.________ ait les mêmes amies depuis bientôt dix ans et soit bien intégrée dans sa classe. Le changement de cycle implique forcément une nouvelle classe et de nouveaux professeurs et Y.________ a bien plus intérêt à s’intégrer dans la commune de domicile de ses parents, intégration qui répond par ailleurs à l’un des principaux buts de la règle de territorialité de l’enclassement. Pour le surplus, rien au dossier ne permet de déduire une quelconque fragilité ou manque d’autonomie de Y.________, âgée de bientôt treize ans, qui l’empêcherait de rester seule dans la maison familiale trois jours par semaine de 16 heures à 19 heures 30, les raisons sécuritaires invoqués par les parents ne paraissant pas représenter de danger objectivable. On peine par ailleurs à saisir l’argument de la recourante selon lequel la maison familiale serait « sans voisin direct » . Selon la photo aérienne disponible sur le site officiel de l’Etat de Vaud (Guichet cartographique cantonal - www.geoplanet.vd.ch ), sise à la rue ********, la parcelle no ******** du registre foncier de la commune de 1********, propriété des parents de Y.________, est entourée d’habitations (parcelle no ******** au sud-ouest, parcelle no ******** au sud-est, parcelle no ******** au nord-est) et bordée par la route DP 17 au nord-ouest. Le fait que le chauffage au bois de la recourante soit inadapté à l’utilisation par une fille de treize ans n’est pas non plus un argument suffisant dans la mesure où on peut attendre des parents de Y.________ qu'ils veillent à ce que celle-ci dispose à son domicile de conditions adéquates, ne serait-ce qu’en installant un chauffage électrique d’appoint le temps nécessaire jusqu’à l’arrivée des parents. Enfin, selon les dires de la recourante, Y.________ est une bonne élève et rien ne permet de supposer des problèmes psychologiques ou scolaires pouvant l’affecter en raison du changement de collège et à ce stade de sa scolarité, ce genre de changement s’inscrivant dans la normalité des parcours scolaires d’un grand nombre d’élèves, d’autant plus qu’il a lieu à la fin du CYT et pour les trois dernières années de la scolarité obligatoire de l’enfant. Au vu de ce qui précède, force est de constater que les motifs de prise en charge extrascolaire de Y.________ par ses grands-parents maternels ne sont pas constitutifs d’une situation tout à fait exceptionnelle qui justifierait de s’écarter de la règle de la territorialité, de sorte que l'autorité intimée n'a pas abusé de son pouvoir d'appréciation en refusant d'accorder une dérogation au sens de l'art. 64 LEO aux fins d'autoriser la fille de la recourante à continuer sa scolarité dans l’Etablissement primaire et secondaire de Penthalaz et environs au lieu de l’Etablissement primaire et secondaire de La Sarraz-Veyron-Venoge. 3. Le recours doit ainsi être rejeté et la décision attaquée confirmée. Les frais seront mis à la charge de la recourante; il n'y a pas lieu d'allouer de dépens (art. 49,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