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GE.2014.0048 vom 21. Mai 2014</w:t>
      </w:r>
    </w:p>
    <w:p>
      <w:r>
        <w:t>VD Tribunal cantonal, 2014-05-21, FR</w:t>
      </w:r>
    </w:p>
    <w:p>
      <w:r>
        <w:rPr>
          <w:b/>
        </w:rPr>
        <w:t xml:space="preserve">Quelle: </w:t>
      </w:r>
      <w:r>
        <w:t>https://mcp.opencaselaw.ch/entscheid/vd_omni_GE.2014.0048</w:t>
      </w:r>
    </w:p>
    <w:p>
      <w:r>
        <w:t>FR: VD_OMNI GE.2014.0048 du 21 mai 2014</w:t>
      </w:r>
    </w:p>
    <w:p>
      <w:r>
        <w:t>IT: VD_OMNI GE.2014.0048 del 21 maggio 2014</w:t>
      </w:r>
    </w:p>
    <w:p>
      <w:pPr>
        <w:pStyle w:val="Heading2"/>
      </w:pPr>
      <w:r>
        <w:t>Regeste</w:t>
      </w:r>
    </w:p>
    <w:p>
      <w:r>
        <w:t>X._______, Y.________ c/Département de la formation, de la jeunesse et de la culture | Recours de parents contre une décision du DFJC refusant leur demande de dérogation tendant à ce que leur enfant soit scolarisé dans un autre établissement que celui correspondant à l'aire de recrutement dont relève leur commune de domicile. Les motifs organisationnels dont se prévalent les recourants, qui sont le lot de la plupart des parents qui exercent une activité lucrative, n'atteignent pas un degré d'intensité suffisant pour admettre l'existence d'un motif de dérogation. Rejet du recours et confirmation de la décision attaquée.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Les recourants disposent de la qualité pour former recours, au sens de l'art. 75 LPA-VD, dans la mesure où, en leur qualité de destinataires de la décision attaquée, ils sont atteints par celle-ci et présentent un intérêt digne de protection à ce qu'elle soit annulée ou modifiée. Le recours satisfait également aux conditions formelles énoncées par l'art. 79 LPA-VD. Il y a donc lieu d'entrer en matière sur le fond.</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"Dérogations à l’aire de recrutement à la demande des parents", l'art. 64 LEO prévoit que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Les art. 63 et 64 LEO correspondent en substance aux anciens art. 13 et 14 LS (abrogés par la LEO). La LEO ne contient pas de disposition transitoire à cet égard.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(pour ne citer que les arrêts les plus récents: GE.2012.0083 du 26 juillet 2012 consid. 1a; GE.2012.0095 du 20 juillet 2012 consid. 2a; GE.2012.0007 du 13 mars 2012 consid. 2a; GE.2011.0143 du 15 novembre 2011 consid. 2a; GE.2011.0166 du 10 novembre 2011 consid. 4a). c) La cour de céans a développé une abondante jurisprudence sur les conditions qui permettaient, en application de l'ancien art. 14 LS, de déroger au principe de territorialité. aa) Préalablement, on peut rappeler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 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(GE.2012.0083 du 26 juillet 2012 consid. 1b et les références citées). bb)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la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(arrêt GE.2012.0059 du 5 juillet 2012 consid. 2c). Le changement de domicile en cours d'année scolaire ne constitue qu'un exemple de situation pouvant donner lieu à une dérogation. Ce motif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 GE.2012.0059 du 5 juillet 2012 consid. 2d). cc) On peut par ailleurs rappeler la casuistique suivante, tirée de la jurisprudence de la cour de céans: a. Le fait qu’un enfant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b. Une dérogation à la zone de recrutement ne peut en tout cas pas être motivée par le souhait d'un élève de demeurer avec des camarades qu'il connaît depuis longtemps (GE.2007.0095 du 10 août 2007 consid. 2). c. Une demande de parents tendant à ce que leur fille de quatorze ans puisse continuer à fréquenter l'établissement scolaire où elle avait suivi le cycle de transition (5 ème et 6 ème , déjà en dérogation puisque le déménagement avait eu lieu au cours de la 5 ème ),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 GE.2012.0007 du 13 mars 2012). d.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e.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En l'espèce, les recourants ne font valoir que des motifs organisationnels qui relèvent clairement de la convenance personnelle. Certes compréhensibles, notamment compte tenu de la pénurie connue de places dans les structures d’accueil parascolaires, ces désagréments n’atteignent cependant pas un degré d’intensité suffisant pour admettre l’existence d’un motif de dérogation. De tels inconvénients sont inhérents à la scolarisation des enfants; ils sont le lot de la plupart des parents qui exercent une activité lucrative. Au vu de ce qui précède, l'autorité intimée n'a pas abusé de son pouvoir d'appréciation en refusant d'accorder une dérogation au sens de l'art. 64 LEO aux fins d'autoriser l'enfant des recourants à débuter sa scolarité à Begnins. 3. Le recours doit ainsi être rejeté et la décision attaquée confirmée. Les frais seront mis à la charge des recourants; il n'y a pas lieu d'allouer de dépens (art. 49,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