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GE.2013.0233 vom 24. März 2015</w:t>
      </w:r>
    </w:p>
    <w:p>
      <w:r>
        <w:t>VD Tribunal cantonal, 2015-03-24, FR</w:t>
      </w:r>
    </w:p>
    <w:p>
      <w:r>
        <w:rPr>
          <w:b/>
        </w:rPr>
        <w:t xml:space="preserve">Quelle: </w:t>
      </w:r>
      <w:r>
        <w:t>https://mcp.opencaselaw.ch/entscheid/vd_omni_GE.2013.0233</w:t>
      </w:r>
    </w:p>
    <w:p>
      <w:r>
        <w:t>FR: VD_OMNI GE.2013.0233 du 24 mars 2015</w:t>
      </w:r>
    </w:p>
    <w:p>
      <w:r>
        <w:t>IT: VD_OMNI GE.2013.0233 del 24 marzo 2015</w:t>
      </w:r>
    </w:p>
    <w:p>
      <w:pPr>
        <w:pStyle w:val="Heading2"/>
      </w:pPr>
      <w:r>
        <w:t>Regeste</w:t>
      </w:r>
    </w:p>
    <w:p>
      <w:r>
        <w:t>X.________ c/Service de l'emploi Contrôle du marché du travail et protection des travailleurs, Service de la population (SPOP) | L'employeur n'apportant aucun élément justifiant de s'écarter des constatations retenues par le juge pénal, c'est à juste titre qu'il a été sanctionné pour avoir employé un ressortissant étranger qui n'était pas titulaire d'une autorisation de travail. La sanction se limitant à une sommation, elle respecte le proncipe de la proportionnalité. Confirmation également des frais de contrôle, que la recourante ne conteste pas. Recours rejeté.</w:t>
      </w:r>
    </w:p>
    <w:p>
      <w:pPr>
        <w:pStyle w:val="Heading2"/>
      </w:pPr>
      <w:r>
        <w:t>Erwägungen</w:t>
      </w:r>
    </w:p>
    <w:p>
      <w:r>
        <w:rPr>
          <w:b/>
        </w:rPr>
        <w:t>E. 1</w:t>
      </w:r>
    </w:p>
    <w:p>
      <w:r>
        <w:t>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 Selon un arrêt récemment rendu par le Tribunal fédéral, l'avertissement prévu à l'art. 122 al. 2 LEtr peut être infligé à un employeur dès la première infraction commise (ATF 2C_197/2014 du 12 février 2015 destiné à la publication, consid. 7). Les directives édictées par le Secrétariat d'Etat aux migrations, dans leur versions du 25 octobre 2013 (Etat le 13.02.2015), précisent en particulier ce qui suit (cf. chapitre I. 4, Domaine des étrangers, séjour avec activité lucrative, p. 205) : "4.8.8.3 Que veut dire « activité lucrative » ou « occuper » ou « faire travailler » au sens du droit des étrangers ?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LEtr)." bb) La recourante semble soutenir qu'une sanction est exclue, au vu des liens familiaux qui l'unissent à la personne contrôlée sur son chantier. Elle relève par ailleurs que cette personne a fourni des prestations de manière désintéressée, afin de lui rendre service. Dans son jugement du 26 janvier 2015, le Tribunal d'arrondissement de la Côte a toutefois mis en évidence des contradictions entre les déclarations de la recourante et celles d'Y.________________, notamment en ce qui concerne la rémunération et l'ampleur des travaux réalisés. Elle a ainsi retenu qu'Y.________________ avait déjà œuvré un mois et demi dans la villa de la recourante comme aide carreleur avant d'être contrôlé. Une rémunération ne semblait en outre pas avoir été exclue, contrairement à ce qu'affirmait la recourante. Compte tenu de ce qui précède, l'autorité pénale en a déduit que la recourante s'était rendue coupable de l'infraction d'emploi d'étrangers sans autorisation, réalisée à tout le moins par dol éventuel. En principe, l'autorité administrative ne doit pas s'écarter sans raisons des faits établis au pénal, surtout lorsque l'enquête pénale a donné lieu à des investigations approfondies. Elle peut toutefois s'en écarter et procéder à sa propre administration des preuves, en particulier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p. 101s.; 129 II 312 consid. 2.4 p. 315 et les références citées). Bien qu'élaborée en matière de circulation routière, l'application de cette jurisprudence dans d'autres domaines du droit administratif, tel que la police des étrangers, se justifie (cf. à cet égard ATF 129 II 312 consid. 2.4 p. 315 qui applique par analogie la jurisprudence précitée à un cas concernant l'aide aux victimes d'infractions; cf. également arrêt PE.2009.0630 du 5 juillet 2010 consid. 1a). La recourante n'a pas contesté les faits retenus dans le jugement du 26 janvier 2015, qui est désormais en force. Elle n'apporte aucun élément, justifiant de s'écarter des constatations retenues par le juge pénal, s'agissant en particulier de l'ampleur des travaux accomplis par Y.________________. C'est dès lors à juste titre que l'autorité intimée a prononcé à l'encontre de la recourante une sanction pour avoir enfreint les règles relatives à l'engagement des travailleurs étrangers. b) La décision entreprise devant être confirmée dans son principe, il convient d'examiner l'adéquation de la sanction prononcée à l'encontre de la recourante. aa) S’agissant des sanctions, le principe de la proportionnalité impose – en matière administrative – une appréciation différenciée de chaque situation en tenant compte des circonstances concrètes du cas d'espèce (ATF 135 II 377, 120 V 48, ég. Pierre Moor, Droit administratif, vol. II, 3 ème éd., Berne 2011, p. 136),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Dans sa jurisprudence, le Tribunal administratif puis le Tribunal cantonal ont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Ils ont jugé que le principe de la proportionnalité était violé en l'absence d'une telle sommation préalable (arrêts PE.2013.0322 du 13 février 2014, PE.2013.0138 du 18 septembre 2013 et PE.2012.0116 du 18 décembre 2012). Dans un arrêt PE.2005.0416 du 28 mars 2006, le Tribunal administratif avait toutefois relevé que la gravité de la faute - cinq travailleurs étrangers en situation irrégulière, dont certains pendant plusieurs années - pouvait justifier sans sommation une sanction de trois à six mois. bb) En l'espèce, la sanction se limite à une sommation. Conformément aux principes jurisprudentiels rappelés ci-dessus, cette sanction, qui est la plus clémente, respecte le principe de proportionnalité. Il s'ensuit que la décision intitulée "Infractions au droit des étrangers" doit être confirmée. 2. La recourante conteste également sa condamnation aux frais du contrôle effectué le 27 septembre 2013. 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En l'espèce, il est établi que la recourante a occupé à son service un travailleur étranger sans autorisation de travail en Suisse. C'est dès lors à juste titre que l'autorité intimée a sur le principe mis à sa charge les frais occasionnés par le contrôle du 27 septembre 2013. Pour le surplus, la recourante ne conteste ni le décompte d'heures ni le tarif appliqué – seul le principe de la condamnation étant contesté. La seconde décision du 20 novembre 2013 intitulée " Décision de facturation des frais de contrôle" est donc également bien fondée. 3. Les considérants qui précèdent conduisent au rejet du recours et à la confirmation des décisions attaquées. La recourante, qui succombe, supportera les frais de justice des deux causes jointes.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