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GE.2013.0211 vom 14. Oktober 2014</w:t>
      </w:r>
    </w:p>
    <w:p>
      <w:r>
        <w:t>VD Tribunal cantonal, 2014-10-14, FR</w:t>
      </w:r>
    </w:p>
    <w:p>
      <w:r>
        <w:rPr>
          <w:b/>
        </w:rPr>
        <w:t xml:space="preserve">Quelle: </w:t>
      </w:r>
      <w:r>
        <w:t>https://mcp.opencaselaw.ch/entscheid/vd_omni_GE.2013.0211</w:t>
      </w:r>
    </w:p>
    <w:p>
      <w:r>
        <w:t>FR: VD_OMNI GE.2013.0211 du 14 octobre 2014</w:t>
      </w:r>
    </w:p>
    <w:p>
      <w:r>
        <w:t>IT: VD_OMNI GE.2013.0211 del 14 ottobre 2014</w:t>
      </w:r>
    </w:p>
    <w:p>
      <w:pPr>
        <w:pStyle w:val="Heading2"/>
      </w:pPr>
      <w:r>
        <w:t>Regeste</w:t>
      </w:r>
    </w:p>
    <w:p>
      <w:r>
        <w:t>X.________ c/Association de la Région d'Action Sociale Jura-Nord vaudois | Retrait de l'autorisation d'accueil familial de jour. Il est admis que le simple fait de refuser l'accès à son logement aux coordinatrices du réseau constitue, de la part d'une accueillante en milieu familial, une faute grave. En outre, la recourante a clairement enfreint les règles auxquelles elle devait se conformer, en confiant les enfants qu'elle gardait à son frère. Le tribunal examine encore d'autres griefs qui ne sont pas retenus. Sur le plan de la proportionnalité, le moyen (retrait de l'autorisation) est propre à atteindre le but fixé (protection des enfants). Toutefois, sur le plan de la proportionnalité au sens étroit, tenant compte du fait que la recourante a exercé son activité pendant plusieurs années et à la satisfaction de divers parents, le tribunal est parvenu à la conclusion que le retrait d'autorisation serait disproportionné. La décision attaquée est ainsi réformée en ce sens que l'autorité intimée est invitée à notifier à la recourante un ultime avertissement lui rappelant très clairement les exigences à respecter, exigeant d'elle une attitude irréprochable et lui indiquant que la moindre violation qui sera constatée entraînera un retrait de l'autorisation d'accueil.</w:t>
      </w:r>
    </w:p>
    <w:p>
      <w:pPr>
        <w:pStyle w:val="Heading2"/>
      </w:pPr>
      <w:r>
        <w:t>Erwägungen</w:t>
      </w:r>
    </w:p>
    <w:p>
      <w:r>
        <w:rPr>
          <w:b/>
        </w:rPr>
        <w:t>E. 1</w:t>
      </w:r>
    </w:p>
    <w:p>
      <w:r>
        <w:t>Interjeté en temps utile selon l’art. 95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Selon l'autorité concernée, soit l'Association, la recourante ne disposerait pas de la qualité pour recourir dans le contexte de la présente procédure. Celle-ci ne démontrerait en effet pas que l'admission du recours lui permettrait d'éviter un préjudice économique concret, dans la mesure où l'autorisation litigieuse ne garantit pas la réalisation d'un revenu, le placement d'enfants étant aléatoire.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L'intérêt doit être direct et concret; en particulier, la personne doit se trouver dans un rapport suffisamment étroit avec la décision; tel n'est pas le cas de celui qui n'est atteint que de manière indirecte et médiate (ATF 130 V 196 consid. 3; 130 V 514 consid. 3.1). En l'espèce, la décision attaquée empêche la recourante d'exercer son activité professionnelle pour la durée de la procédure pénale. Il ne fait dès lors aucun doute que celle-ci peut se prévaloir d’un intérêt digne de protection à ce que cette décision soit annulée. Le fait que l'autorisation en question n'assure pas en soi un revenu garanti à la recourante ne saurait être considéré comme déterminant. Cette autorisation constitue la condition sine qua non de l'exercice d'une activité de maman de jour par la recourante, de sorte que celle-ci est à l'évidence touchée plus que quiconque par sa suspension. Partant, la qualité pour recourir doit être reconnue à la recourante, selon l’argumentation qui avait déjà été développée dans la précédente procédure (GE.2012.0127). A cet égard, le tribunal peine à comprendre pour quelle raison l’autorité intimée s’obstine à répéter dans chacune de ses écritures que la recourante ne dispose pas d’un intérêt digne de protection.</w:t>
      </w:r>
    </w:p>
    <w:p>
      <w:r>
        <w:rPr>
          <w:b/>
        </w:rPr>
        <w:t>E. 3</w:t>
      </w:r>
    </w:p>
    <w:p>
      <w:r>
        <w:t>Concernant une procédure pénale ouverte à l’encontre de la recourante après que la décision attaquée a été rendue, il y a lieu de relever qu'elle constitue un fait nouveau et qu'elle ne fait pas l'objet de la présente procédure.</w:t>
      </w:r>
    </w:p>
    <w:p>
      <w:r>
        <w:rPr>
          <w:b/>
        </w:rPr>
        <w:t>E. 4</w:t>
      </w:r>
    </w:p>
    <w:p>
      <w:r>
        <w:t>La recourante invoque une violation de son droit d'être entendue. a) Les parties ont le droit d'être entendues (art. 29 al. 2 Cst; 27 al. 2 Cst-VD). Ce droit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(cf. art. 33 al. 1 LPA-VD), le droit de participer à l'administration des preuves (cf. art. 34 al. 1 LPA-VD), d'en prendre connaissance et de se déterminer à leur propos (cf. art. 34 al. 2 let. e LPA-VD), respectivement de fournir des preuves quant aux faits de nature à influer sur le sort de la décision (cf. art. 34 al. 2 let. d LPA-VD), ainsi que le droit d'avoir accès au dossier (cf. art. 35 LPA-VD). En tant que droit de participation, le droit d'être entendu englobe tous les droits qui doivent être attribués à une partie pour qu'elle puisse faire valoir efficacement son point de vue dans une procédure (ATF 132 II 485 consid. 3.2; ATF 8C_53/2012 du 6 juin 2012 consid. 5.2). b) En l'occurrence, il apparaît que, à deux reprises, se pose la question de savoir si le droit d’être entendu de la recourante a été suffisamment respecté par l’autorité intimée. Tout d’abord à l’occasion de l’avertissement prononcé en date du 25 juin 2013, alors même que l’autorité reprochait à la recourante d’avoir accueilli sans droit des enfants contre rémunération, elle a n’a pas tenu compte de l’argument formulé par la recourante selon lequel elle ne faisait que dépanner des amies, de manière ponctuelle et sans rémunération. L’autorité intimée a rendu une décision sans laisser à la recourante l’opportunité de fournir des preuves en rapport avec les reproches qui lui étaient faits. Il faut néanmoins relever que la recourante avait tout loisir de transmettre spontanément les noms des enfants concernés et des attestations de leurs parents. Elle l’a finalement fait lors de l’audience du 15 septembre 2014, les deux témoins amenés ayant certifié que c’étaient leurs filles qui étaient accueillies ce jour-là par la recourante à titre amical. L’autorité intimée a d’ailleurs admis lors de l’audience que c’étaient bien les enfants des témoins qui étaient accueillies ce jour-là. Le Tribunal dispos ant d’un pouvoir d’examen au moins aussi étendu que celui de l’autorité intimée, une éventuelle violation du droit d’être entendu de la recourante a ainsi pu être guérie et les faits ont pu être établis . Le t ribunal ne retiendra donc pas à cet égard de violation du droit d’être entendu . Ensuite, le 29 octobre 2013, l’autorité intimée indique avoir été informée qu’une personne en recherche d’une place d’accueil, soit Z.________, avait placé son enfant chez la recourante pour un tarif de fr. 7.-/heure durant les semaines précédentes. Le 6 novembre 2013, l’Association a rendu la décision attaquée, retenant l’information susmentionnée comme véridique et essentielle, sans même contacter la recourante. A cet égard, il s'impose de constater que la recourante n'a pas eu l'occasion de s'expliquer, respectivement de participer à l'administration des preuves, d'en prendre connaissance et de se déterminer à leur propos, avant que la décision litigieuse ne soit prononcée. L’autorité intimée admet d’ailleurs dans ses écritures qu’il n’y avait pour elle pas de doute possible concernant les propos de Z.________ et que l’audition de la recourante n’aurait rien changé à son opinion. Cette affirmation apparaît pour le moins abrupte, d’autant plus que la personne que l’autorité intimée considérait comme Z.________ (qui s’appelle en réalité Z.________) a déclaré, lors de l’audience du 15 septembre 2014, que la recourante gardait occasionnellement sa fille mais pas contre rémunération. A cet égard, l’autorité intimée a violé le droit d’être entendu de la recourante, constitutionnellement garanti. Le t ribunal disposant toutefois d’un pouvoir d’examen au moins aussi étendu que celui de l’autorité intimée, la violation du droit d’être entendu de la recourante a pu être guérie dans le cadre de la procédure de recours . Le tribunal ne retiendra donc pas non plus à ce propos de violation du droit d’être entendu.</w:t>
      </w:r>
    </w:p>
    <w:p>
      <w:r>
        <w:rPr>
          <w:b/>
        </w:rPr>
        <w:t>E. 5</w:t>
      </w:r>
    </w:p>
    <w:p>
      <w:r>
        <w:t>Le domaine de l'accueil familial de jour est réglé tant par des règles de droit fédéral que de droit cantonal. a) A teneur de l'art. 316 CC,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En application de cette disposition, le Conseil fédéral a édicté l'ordonnance du 19 octobre 1977 réglant le placement d'enfants à des fins d'entretien et en vue d'adoption (OPEE; RS 211.22.338) . Selon l'art. 12 OPEE,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Aux termes de l'art. 5 OPEE,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b) La loi vaudoise du 20 juin 2006 sur l’accueil de jour des enfants (LAJE; RSV 211.22), entrée en vigueur le 1 er septembre 2006, et son règlement d’application du 13 décembre 2006 (RLAJE; RSV 211.22.1) constituent la législation cantonale concrétisant l’OPEE. Cette loi régit notamment l’accueil familial de jour, soit la prise en charge d’enfants par toute personne qui accueille des enfants dans son foyer, à la journée (à temps partiel ou à temps plein) et contre rémunération, régulièrement et de manière durable (art. 3 let. c LAJE, mis en relation avec l’art. 2, quatrième tiret, LAJE). Le Service de protection de la jeunesse (SPJ) est chargé d’appliquer l’OPEE (art. 6 al. 2 LAJE); il fixe les titres, attestations et autres conditions pour l'octroi et le maintien de l'autorisation d'accueil familial de jour (notamment) dans des référentiels de compétence et des cadres de référence (art. 7 al. 1 LAJE). L’accueil familial de jour est soumis au régime de l'autorisation (art. 5 et 15 al. 1 LAJE). Il appartient aux communes ou associations de communes d'autoriser l'accueil familial de jour (cf. art. 6 al. 3 et 16 al. 1 LAJE); il leur appartient également d'en assurer la surveillance, par l'intermédiaire d'une coordinatrice (cf. art. 6 al. 3, 16 al. 2 et 23 al. 1 LAJE). c) Selon l'art. 19 LAJE, le non-respect de la loi ou des conditions d'autorisation peut entraîner la suspension de l'autorisation par l'autorité compétente (al. 1). S'il y a péril en la demeure, l'autorité compétente retire l'autorisation et prend immédiatement les mesures adéquates (al. 2). Quant aux modalités du retrait de l'autorisation (provisoire ou définitive), elles sont prévues par l'art. 17 RLAJE, dont il résulte notamment ce qui suit: 1 Si une personne autorisée à pratiquer l'accueil familial de jour, à titre provisoire ou définitif, ne se conforme pas aux obligations résultant du régime d'autorisation, l'autorité compétente ordonne une enquête qu'elle confie à la coordinatrice. 2 Sur la base du rapport d'enquête, l'autorité compétente adresse un avertissement à la personne concernée et lui impartit un délai afin de prendre les mesures nécessaires pour remédier aux manques constatés. 3 Si ces mesures n'ont pas d'effet ou apparaissent d'emblée insuffisantes, l'autorité compétente prononce un retrait d'autorisation. 4 En cas de péril en la demeure, l'autorité compétente retire immédiatement l'autorisation, sans procéder à une enquête. d) S'agissant des obligations générales pour l'accueil familial de jour, les Directives pour l'accueil de jour des enfants établies par le SPJ (Directives SPJ), dans leur teneur en vigueur depuis le 1er février 2008, prévoient notamment que toute personne au bénéfice d'une autorisation provisoire ou définitive de pratiquer l'accueil familial de jour a l'obligation de (ch. 5) ne pas laisser les enfants confiés sous la surveillance d'une personne qui n'est pas au bénéfice de l'autorisation, sauf en cas d'urgence (let. d), ou encore de respecter son devoir de discrétion au sujet des informations dont elle prend connaissance dans le cadre de son activité (let. j). Les Directives SPJ prévoient aussi, à leur point 8, que l’autorité compétente peut en tout temps effectuer ou faire effectuer des visites domiciliaires impromptues afin de vérifier que les charges et conditions particulières ainsi que les obligations générales de la personne autorisée à pratiquer l’accueil familial de jour sont respectées. A défaut, l’autorisation peut être retirée, conformément à la procédure prévue dans le règlement d’application de la LAJE.</w:t>
      </w:r>
    </w:p>
    <w:p>
      <w:r>
        <w:rPr>
          <w:b/>
        </w:rPr>
        <w:t>E. 6</w:t>
      </w:r>
    </w:p>
    <w:p>
      <w:r>
        <w:t>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2P.169/2004 du 7 février 2005 consid. 2.2). Le refus d'autoriser l'exercice d'une profession (à laquelle on peut assimiler l'interdiction du droit d'exercer une activité lucrative) constitue une atteinte grave à la liberté économique (ATF 123 I 259 consid. 2b et GE.2006.0088 du 11 juillet 2007). Aux termes de l'art. 36 Cst., toute restriction d'un droit fondamental doit être fondée sur une base légale; les restrictions graves doivent être prévues par une loi, les cas de danger sérieux, direct et imminent étant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b) aa) En l’espèce, l’autorité intimée fait en premier lieu grief à la recourante d’avoir accueilli des enfants sans autorisation. Au vu des témoignages recueillis en cours d’audience, le reproche fait à la recourante d’avoir accueilli des enfants contre rémunération au cours du mois de juin 2013 puis du mois novembre 2013 et de n’avoir ainsi pas respecté un avertissement la menaçant de lui retirer son autorisation dans l’hypothèse dans laquelle elle accueillerait des enfants à titre rémunéré ne peut pas être pris en considération, les témoins ayant tous déclaré que leurs enfants étaient pris en charge à titre gracieux par la recourante. bb) L’autorité intimée reproche aussi à la recourante son attitude oppositionnelle lors de la visite de contrôle du 27 juin 2013. A cette occasion, la recourante a refusé l’accès de son logement aux coordinatrices de l’intimée, sans fournir aucune explication, même ultérieurement. En l’absence totale de collaboration de la part de la recourante, on peut certes se demander, comme le fait l’intimée, si la recourante ne tenait pas à cacher des enfants se trouvant dans son appartement. Il n’est toutefois pas nécessaire de trancher cette question. En effet, le simple fait de refuser l’accès à son logement aux coordinatrices du réseau constitue, de la part d’une accueillante en milieu familial, une faute grave. Les Directives SPJ prévoient très clairement que l’autorité compétente peut en tout temps effectuer ou faire effectuer des visites domiciliaires impromptues afin de vérifier que les charges et conditions particulières ainsi que les obligations générales de la personne autorisée à pratiquer l’accueil familial de jour sont respectées (point 8). Les visites domiciliaires impromptues constituent un élément essentiel du système de contrôle. Dans ce contexte, l’accueillante ne peut en aucun cas invoquer le besoin de protéger sa vie privée. cc) L’autorité intimée reproche ensuite à la recourante d’avoir confié des enfants à son frère, en violation des directives qui interdisent de confier des enfants gardés à des tiers, et ceci alors même qu’en mars 2013 deux procédures étaient pendantes à l’encontre de son frère. A cet égard, il faut relever que l’une des deux procédures a été classée sans suite. Quant à l’autre procédure, elle concerne apparemment, selon les indications données par le frère de la recourante lors de l’audience du 16 janvier 2013, une victime qui avait 10-12 ans (la fille de sa belle-mère), alors que lui-même avait 16-17 ans. Même s’il ne s’agit pas d’actes d’un adulte envers de très jeunes enfants, il n’en demeure pas moins qu’il s’agit d’une affaire d’attouchement sur mineur, ce qui aurait dû induire la recourante à faire preuve de la plus grande prudence et à ne pas confier les enfants à son frère, même en cas d'urgence. La recourante a clairement enfreint les règles auxquelles elle devait se conformer, en faisant fi de la plus élémentaire prudence. C’est à juste titre que l’autorité intimée a reproché à la recourante son comportement. L’autorité intimée semble aussi reprocher à la recourante de n’avoir pas tenu son frère éloigné de son domicile alors qu’elle s’y serait engagée. A ce propos, il faut relever que la recourante était prête à prendre un tel engagement si l’autorisation litigieuse lui était restituée. Elle ne s’est toutefois pas engagée à refuser de recevoir son frère pour le cas dans lequel son autorisation serait suspendue. L’autorité intimée semble également reprocher à la recourante le fait que son époux soit défavorablement connu des services de police. Il ressort toutefois de l’arrêt rendu le 15 mars 2013 (arrêt GE.2012.0127) que ce fait était connu de l’autorité intimée depuis longtemps et n’a pas constitué un obstacle à la délivrance d’une autorisation en 2012. Il serait ainsi contradictoire de fonder le retrait de l’autorisation en 2013 sur ce fait. dd) L’autorité intimée reproche enfin à la recourante de manière générale son manque de collaboration et le fait qu’elle ait entravé le bon déroulement de l’enquête. Ces reproches, même s’ils peuvent être véridiques, ne sont documentés par aucune pièce au dossier. Il a même été admis lors de l’audience que la recourante, après avoir sans succès demandé à l’intimée de s’adresser directement à son frère pour obtenir son extrait de casier judiciaire, s’était finalement chargée elle-même d’obtenir ce document et l’avait transmis à l’autorité intimée. c) Il s’agit à ce stade d’examiner si les manquements susmentionnés justifient le retrait de l'autorisation d'accueil familial de jour de la recourante, sous l’angle du principe de proportionnalité. Le principe de la proportionnalité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(ATF 130 I 65 consid. 3.5.1; 128 II 292 consid. 5.1 et les arrêts cités). En l’occurrence, on peut relever que la décision attaquée (prononçant le retrait de l'autorisation d'accueil familial de jour de la recourante) a pour but de protéger les enfants qui sont confiés aux soins de la recourante et qu’elle est propre à atteindre ce but. En ce sens, elle respecte la règle de l’adéquation, première maxime du principe de proportionnalité. Toutefois, si le moyen (retrait de l’autorisation) est propre à atteindre le but fixé, il faut encore se demander s’il est conforme à la règle de proportionnalité au sens étroit, qui exige que la gravité des effets de la mesure sur la situation de l'administré soit mise en balance avec l'impact attendu en fonction de l'intérêt public. En l'état du dossier, peuvent en définitive être retenus à la charge de la recourante, comme déjà relevé, un refus d’accès à son domicile et une violation de son obligation de ne pas confier des enfants dont elle a la charge à un tiers (son frère), qui n’est au surplus sans doute pas apte à s’en occuper. Il s’agit de manquements qui sont graves. On ne peut toutefois pas encore en déduire que la recourante n’est pas apte à s’occuper d’enfants et que son autorisation doit lui être définitivement retirée. Tenant compte du fait que la recourante a exercé pendant plusieurs années et à la satisfaction de divers parents (cf. attestations produites dans le cadre de la procédure GE.2012.0127, écritures du 8 novembre 2012), le tribunal est parvenu à la conclusion, après de longues hésitations, que le retrait d'autorisation litigieux aurait des conséquences excessivement lourdes pour la recourante et serait malgré tout disproportionné (cf. art. 27 et 36 al. 3 Cst.; arrêt GE.2013.0018 du 4 juin 2013 consid. 3). Il ne se justifie pas de considérer qu'un ultime avertissement constituerait une mesure d'emblée insuffisante et que seul peut entrer en ligne de compte un retrait de l’autorisation. Le tribunal estime qu’un avertissement devrait permettrait à la recourante de réaliser qu’elle a commis des erreurs et que celles-ci ne doivent plus se reproduire. La décision attaquée est ainsi réformée en ce sens que l’autorité intimée est invitée à notifier à la recourante un ultime avertissement lui rappelant très clairement les exigences à respecter, exigeant d’elle une attitude irréprochable et lui indiquant que la moindre violation qui sera constatée entraînera un retrait de l’autorisation d’accueil. La recourante doit être consciente du fait que son cas est un cas-limite et qu’une nouvelle violation des règles de l’accueil de jour ne sera pas tolérée.</w:t>
      </w:r>
    </w:p>
    <w:p>
      <w:r>
        <w:rPr>
          <w:b/>
        </w:rPr>
        <w:t>E. 7</w:t>
      </w:r>
    </w:p>
    <w:p>
      <w:r>
        <w:t>Il résulte des considérants qui précèdent que le recours doit être admis et la décision attaquée réformée en ce sens qu’un avertissement sera notifié à la recourante par l’autorité intimée. La recourante qui a procédé avec le concours d'un avocat a droit à une indemnité à titre de dépens, qui sera légèrement réduite compte tenu du fait qu'elle n'a pas entièrement gain de cause puisque la décision est réformée dans le sens d'une sanction moins grave que celle prononcée initialement. Vu le sort du recours, un émolument réduit est mis à la charge de l'autorité intimée, le solde des frais étant laissé à la charge de l'Etat. Compte tenu de ses ressources, la recourante a été mise au bénéfice de l'assistance judiciaire par décision du 27 janvier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Oguey peut être arrêtée à un montant total de 3'600 fr., montant auquel s'ajoute celui des débours, par 206 fr. 80. Compte tenu de la TVA au taux de 8%, l'indemnité totale s'élève à  4'111 fr 35, dont il convient de déduire les 2'000 fr versés au titre de dépens. L'indemnité est par conséquent fixée à 2'111 fr 35. On relèvera que le décompte horaire produit par le conseil d'office de la recourante (qui mentionne 31 heures et 10 minutes de travail) apparaît excessif compte tenu de la complexité de la cause et des écritures déposées et que l'indemnité a finalement été fixée en tenant compte d'un temps consacré au dossier de 20 heures. L'indemnité de conseil d'office est supportée provisoirement par le canton (cf. art. 122 al. 1 let. a du code de procédure civil du 19 décembre 2008 - CPC; RS 272 -, applicable par renvoi de l'art. 18 al. 5 LPA-VD), la recourante étant rendue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