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GE.2013.0194 vom 5. März 2015</w:t>
      </w:r>
    </w:p>
    <w:p>
      <w:r>
        <w:t>VD Tribunal cantonal, 2015-03-05, FR</w:t>
      </w:r>
    </w:p>
    <w:p>
      <w:r>
        <w:rPr>
          <w:b/>
        </w:rPr>
        <w:t xml:space="preserve">Quelle: </w:t>
      </w:r>
      <w:r>
        <w:t>https://mcp.opencaselaw.ch/entscheid/vd_omni_GE.2013.0194</w:t>
      </w:r>
    </w:p>
    <w:p>
      <w:r>
        <w:t>FR: VD_OMNI GE.2013.0194 du 5 mars 2015</w:t>
      </w:r>
    </w:p>
    <w:p>
      <w:r>
        <w:t>IT: VD_OMNI GE.2013.0194 del 5 marzo 2015</w:t>
      </w:r>
    </w:p>
    <w:p>
      <w:pPr>
        <w:pStyle w:val="Heading2"/>
      </w:pPr>
      <w:r>
        <w:t>Regeste</w:t>
      </w:r>
    </w:p>
    <w:p>
      <w:r>
        <w:t>A.X.________, B.X.________ et C.X.________ /Département de l'intérieur | Celui qui réclame une indemnisation LAVI en raison d'une infraction doit apporter la preuve de l'existence de celle-ci. Lorsque la preuve ne peut être apportée sous forme absolue, par exemple en l'absence de procédure pénale, elle peut revêtir la forme facilitée de la vraisemblance prépondérante. A cet égard, il suffit que le tribunal acquière la conviction, sur la base d'une appréciation objective de toutes les circonstances, qu'un fait constitue la version la plus vraisemblable entre deux possibilités. Un degré de vraisemblance général de 75% n'est manifestement pas exigé (c. 6a). En l'espèce, les recourants soutiennent que l'accident de voiture dont ils ont été victimes à l'étranger - qui n'a fait l'objet d'aucune procédure sur place - résulte de la conduite inadaptée et de l'inattention du chauffeur, décédé. Compte tenu de l'ensemble du dossier, force est de retenir que cette thèse apparaît comme la plus vraisemblable au regard des autres hypothèses soulevées par l'autorité intimée (chauffeur pris de malaise, véhicule défectueux, état de la route). L'existence d'une infraction doit ainsi être tenue pour établie (c. 6c). Recours admis et cause renvoyée à l'autorité intimée pour complément d'instruction et nouvelle décision.</w:t>
      </w:r>
    </w:p>
    <w:p>
      <w:pPr>
        <w:pStyle w:val="Heading2"/>
      </w:pPr>
      <w:r>
        <w:t>Erwägungen</w:t>
      </w:r>
    </w:p>
    <w:p>
      <w:r>
        <w:rPr>
          <w:b/>
        </w:rPr>
        <w:t>E. 1</w:t>
      </w:r>
    </w:p>
    <w:p>
      <w:r>
        <w:t>a) Le Tribunal cantonal, soit la Cour de droit administratif et public, est compétent pour statuer sur le présent recours en vertu de l'art. 16 al. 1 de la loi vaudoise du 24 février 2009 d'application de la loi fédérale du 23 mars 2007 sur l'aide aux victimes d'infractions (LVLAVI; RSV 312.41) et de l'art. 92 al. 1 de la loi vaudoise du 28 octobre 2008 sur la procédure administrative (LPA-VD; RSV 173.36). b) Déposé dans le délai légal de trente jours (cf. art. 95 LPA-VD), le recours est intervenu en temps utile et satisfait par ailleurs aux autres conditions formelles de recevabilité (cf. art. 79 LPA-VD, applicable par renvoi de l'art. 99 LPA-VD). Il y a donc lieu d'entrer en matière sur le fond.</w:t>
      </w:r>
    </w:p>
    <w:p>
      <w:r>
        <w:rPr>
          <w:b/>
        </w:rPr>
        <w:t>E. 2</w:t>
      </w:r>
    </w:p>
    <w:p>
      <w:r>
        <w:t>Le litige porte sur le droit des recourants à une indemnisation et une réparation morale au titre de l'aide aux victimes d'infractions.</w:t>
      </w:r>
    </w:p>
    <w:p>
      <w:r>
        <w:rPr>
          <w:b/>
        </w:rPr>
        <w:t>E. 3</w:t>
      </w:r>
    </w:p>
    <w:p>
      <w:r>
        <w:t>a) La loi fédérale du 23 mars 2007 sur l'aide aux victimes d'infractions (LAVI; RS 312.5) est entrée en vigueur le 1 er janvier 2009. En vertu de l'art. 48 let. a LAVI, le droit d'obtenir une indemnité et une réparation morale pour des faits qui se sont déroulés avant l'entrée en vigueur de la loi sont régis par l'ancien droit. b) En l'espèce, les faits à l'origine de la présente procédure se sont déroulés le 8 août 2008. La présente affaire doit par conséquent être examinée sous l'angle de la loi fédérale du 4 octobre 1991 sur l'aide aux victimes d'infractions (aLAVI; RO 1992 2465 et les modifications ultérieures), en vigueur jusqu'au 31 décembre 2008. Elle échappe ainsi au champ d'application du nouvel art. 3 al. 2 LAVI, lequel exclut toute indemnité ou réparation morale lorsqu'une infraction a été commise à l'étranger.</w:t>
      </w:r>
    </w:p>
    <w:p>
      <w:r>
        <w:rPr>
          <w:b/>
        </w:rPr>
        <w:t>E. 4</w:t>
      </w:r>
    </w:p>
    <w:p>
      <w:r>
        <w:t>a) Aux termes de l'art. 2 aLAVI, bénéficie d’une aide selon cette loi toute personne qui a subi, du fait d’une infraction, une atteinte directe à son intégrité corporelle, sexuelle ou psychique (victime), que l’auteur ait été ou non découvert ou que le comportement de celui-ci soit ou non fautif (al. 1). Le conjoint, le partenaire enregistré, les enfants, les père et mère ainsi que les autres personnes unies à la victime par des liens analogues sont assimilés à celle-ci pour ce qui est de l’indemnité et de la réparation morale dans la mesure où ces personnes peuvent faire valoir des prétentions civiles contre l’auteur de l’infraction (al. 2 let. c). Selon l'art. 11 al. 3 aLAVI, lorsqu’une personne de nationalité suisse domiciliée en Suisse est victime d’une infraction à l’étranger, elle peut demander au canton dans lequel elle est domiciliée une indemnisation ou une réparation morale si elle n’obtient pas des prestations suffisantes d’un Etat étranger. b) En l'occurrence, il est constant que AX.________ a subi une atteinte directe à son intégrité corporelle et que BX.________ et CX.________, affectés psychiquement par les lésions de leur s œ ur et le décès de leur père, peuvent lui être assimilés, en application de l'art. 2 aLAVI. Il n'est pas davantage contesté que les recourants n'ont pas obtenu réparation de la part des autorités haïtiennes. Reste cependant litigieuse la question de savoir si une infraction est bien à l'origine du dommage.</w:t>
      </w:r>
    </w:p>
    <w:p>
      <w:r>
        <w:rPr>
          <w:b/>
        </w:rPr>
        <w:t>E. 5</w:t>
      </w:r>
    </w:p>
    <w:p>
      <w:r>
        <w:t>a) L'existence d'une infraction est une condition préalable indispensable pour la reconnaissance de la qualité de victime d'une personne lésée (Gomm/Zehntner, Kommentar zum Opferhilfegesetz, 2 ème éd., Berne 2005, n. 3 ad art. 2 aLAVI). La notion d'infraction au sens de l'art. 2 al. 1 aLAVI est fondamentalement identique à ce qu'elle est dans le code pénal. On entend par là un comportement qui réunit tous les éléments constitutifs de l'infraction et contraires au droit. L'existence d'une faute n'est en revanche exigée que par le droit pénal et n'est pas un critère pris en compte par le droit de l'aide aux victimes dans la détermination de la qualité de victime (ATF 134 II 33, JT 2011 IV 30 consid. 5.4 et la référence; ATF 134 II 308, JT 2011 IV 72 consid. 5.4 s. et les références; ATF 122 II 211, JT 1998 IV 54 consid. 3b et les références; cf. également Converset, Aide aux victimes d'infractions et réparation du dommage, Genève/Zurich/Bâle 2009, pp. 29 s. et les références). La notion d'infraction suppose en outre une attitude intentionnelle ou par négligence. Ainsi, une lésion corporelle ou un homicide ne sont en eux-mêmes pas suffisants pour fonder la qualité de victime d'une personne, mais doivent au moins relever d'un acte commis par négligence. Pour que le délit par négligence puisse être retenu, il faut qu'un manque de diligence de l'auteur soit à l'origine du dommage (ATF 134 II 33, JT 2011 IV 33 consid. 5.4 et les références; ATF 134 II 308, JT 2011 IV 72 consid. 5.5 ss et les références; ATF 122 II 211, JT 1998 IV 54 consid. 3b et la référence). b) La preuve de la qualité de victime d'infraction dépend tant du moment que du type d'aide en question (Mizel, La qualité de victime LAVI et la mesure actuelle des droits qui en découlent, in: JT 2003 IV 38, spéc. n. 17 ss pp. 51 s.). Il est évident que, pour une protection efficace de la victime et une bonne défense de ses droits en cours d'instruction au sens des art. 5 ss aLAVI, il doit lui être possible d'agir avant que le caractère illicite du comportement en cause ait été établi. C'est l'enquête pénale qui doit déterminer ce qu'il en est. Pour que la victime puisse faire valoir ses droits dans ladite enquête, il est donc suffisant qu'une infraction puisse être envisagée. Il doit en aller de même, conformément à l'esprit et au but de la aLAVI, des conseils prévus par l'art. 3 aLAVI et de l'octroi d'une avance selon l'art. 15 aLAVI. Les sommes ainsi versées en cas d'urgence doivent, pour remplir leur but, parvenir à la victime avant que le caractère illicite du comportement en cause ait été établi. Il en va toutefois différemment des prétentions de la victime et de son indemnisation selon les art. 11 ss aLAVI. Comme il s'agit cette fois d'une réparation définitive, toutes les conditions auxquelles l'application de la loi est subordonnée et, notamment, la preuve de l'infraction (cf. art. 2 al. 1 aLAVI) doivent être réunies. L'exigence d'une procédure simple et rapide, prévue à l'art. 16 al. 1 aLAVI, ne saurait dispenser la victime d'établir l'existence d'un état de fait délictueux selon les critères habituels (cf. ATF 122 II 211, JT 1998 IV 54 consid. 3c et d, et les références; FF 2005 6683, spéc. p. 6722; Gomm/Zehntner, Kommentar zum Opferhilfegesetz, 3 ème éd., Berne 2009, n. 14 ad art. 29 LAVI et les références). La question de savoir si l'on peut se contenter d'indices qui ne seraient pas considérés comme suffisants en procédure civile ou pénale, lorsqu'il n'est pas possible de faire la preuve de l'infraction, a été laissée ouverte par le Tribunal fédéral (cf. ATF 122 II 211, JT 1998 IV 54 consid. 3d). La doctrine et la pratique considèrent toutefois qu'en cas de demande de prestations financières définitives, la preuve de la qualité de victime doit revêtir la forme de la vraisemblance prépondérante, telle que développée par la jurisprudence en matière d'assurances sociales (cf. notamment BVR 2007 pp. 226 ss consid. 4.4 s. et les références; Gomm/Zehntner, op. cit. [2 ème éd.], n. 18-19 ad art. 16 aLAVI, et les références; Gomm/Zehntner, op. cit. [3 ème éd.], n. 17 ad art. 29 LAVI et les références; Riniker, Opferrechte des Tatzeugen, Zurich/St-Gall 2011, ch. 3 p. 88 et 3D p. 107, et les références; Weishaupt, Finanzielle Ansprüche nach Opferhilfegesetz, in: RSJ 2002 322, spéc. n. 35 p. 325 et les références; Ehrenzeller/Guy-Ecabert/Kuhn, Das revidierte Opferhilfegesetz – La nouvelle loi fédérale sur l'aide aux victimes d'infractions, Zurich 2009, ch. II 1 p. 21 et les références). c) S'agissant plus particulièrement des accidents de la circulation, le Tribunal fédéral a jugé que la personne blessée était une victime au sens de l'art. 2 aLAVI si elle avait subi des lésions corporelles par négligence, imputables aux autres personnes impliquées dans l'accident, mais non pas si elle n'invoquait qu'une simple violation des règles de la circulation ou une ivresse au volant, qui ne portaient pas directement atteinte à l'intégrité corporelle (cf. ATF 122 IV 71, JT 1996 I 782 consid. 3a et les références; TF 8G.75/2003 du 5 septembre 2003 consid. 1.2 et les références; TF 6S.729/2001 du 25 février 2002 consid. 1a et la référence; Mizel, op. cit., n. 61 p. 66). Il résulte en effet du Message du 25 avril 1990 concernant la aLAVI que les infractions de mise en danger sont exclues du champ d'application de la loi puisque, par définition, elles ne comportent pas une atteinte à un bien juridique (FF 1990 II 909, spéc. p. 925).</w:t>
      </w:r>
    </w:p>
    <w:p>
      <w:r>
        <w:rPr>
          <w:b/>
        </w:rPr>
        <w:t>E. 6</w:t>
      </w:r>
    </w:p>
    <w:p>
      <w:r>
        <w:t>a) En l'espèce, l'accident à l'origine de la demande d'indemnisation des recourants, survenu en Haïti, n'a pas fait l'objet d'une enquête pénale dans ce pays, permettant de déterminer si le chauffeur du véhicule en cause, décédé à cette occasion, s'est rendu coupable d'homicides et de lésions corporelles par négligence. Dans la mesure où les recourants sollicitent une réparation financière définitive, il leur incombe donc, conformément à la jurisprudence précitée, d'établir la preuve qu'une infraction au sens de l'art. 2 al. 1 aLAVI a bel et bien été commise, au degré de la vraisemblance prépondérante. Ce point n'est pas contesté. b) Les recourants reprochent néanmoins à l'autorité intimée d'avoir violé le droit fédéral en exigeant un degré de vraisemblance de 75%. Un tel taux découle des Recommandations de la Conférence suisse des offices de liaison de la loi fédérale sur l'aide aux victimes d’infractions (ci-après: CSOL-LAVI) pour l'application de la LAVI du 21 janvier 2010. Aux termes de celles-ci, lors de l’octroi d’indemnisation et de réparation morale, il faut retenir pour le degré de preuve celui de la vraisemblance prépondérante, en se basant sur le droit des assurances sociales. Le degré de vraisemblance qui plaide en faveur de la qualité de victime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(p. 14). En l’absence de procédure pénale, la victime risque, dans les cas où il n’y a ni trace, ni indice, ni aucun autre élément de preuve à disposition, de ne pouvoir suffisamment prouver l’existence d’une infraction lors de la procédure relative à l’octroi de prestations d’aide aux victimes (p. 15). Or, selon la jurisprudence prévalant en matière d'assurances sociales, à laquelle renvoient les Recommandations de la CSOL-LAVI, le juge fonde généralement sa décision sur les faits qui, faute d'être établis de manière irréfutable, apparaissent comme les plus vraisemblables.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importe ainsi que le tribunal acquière la conviction, sur la base d'une appréciation objective de toutes les circonstances, qu'un fait constitue la version la plus vraisemblable entre deux possibilités (voir encore ATF 126 V 353 consid. 5b et les références; Kieser, Das Verwaltungsverfahren in der Sozialversicherung, Zurich 1999, n. 465 pp. 221 s. et les références; cf. également ATF 130 III 321, JT 2005 I 618 consid. 3.2 et 3.3 et les références; Hohl, Procédure civile, vol. II – Compétence, délais, procédures et voies de recours, 2 ème éd., Berne 2010, n. 1564 p. 284 et les références). Autrement dit, présente un degré de vraisemblance prépondérante la variante qui, parmi plusieurs hypothèses possibles, apparaît comme étant la plus probable (cf. CASSO ACH 95/13 – 61/2014 du 1 er mai 2014 consid. 2c et les références). Il s'ensuit qu'un degré de vraisemblance général de 75% n'est manifestement pas exigé (TF 9C_717/2009 du 20 octobre 2009 consid. 3.3 et les références). C'est donc à juste titre que les recourants s'opposent à une quantification chiffrée de la vraisemblance prépondérante, telle que retenue par l'autorité intimée. c) Cela étant, les recourants soutiennent que leur version des faits, soit une distraction coupable de la part du conducteur A.________, serait l'hypothèse la plus vraisemblable en l'espèce. Ils en veulent pour preuve que les déclarations écrites de B.________ et C.________ s'accordent à dire que le chauffeur consultait, dans les instants précédant l'accident, un appareil électronique au lieu de concentrer toute son attention sur la route. L'autorité intimée considère pour sa part que les causes de l'accident ne sont pas clairement définies et que les déclarations précitées ne suffisent pas à établir que l'accident serait dû à une infraction plutôt qu'à d'autres causes, telles qu'une défaillance mécanique (rupture de la direction, freins défectueux, etc.), une dégradation de la route (trou, affaissement, etc.) ou toute autre cause non imputable au chauffeur (malaise) et de nature accidentelle. Il est vrai que les témoignages écrits dont se prévalent les recourants doivent être appréciés avec réserve. Tous deux ont été établis pour les besoins de la présente procédure. Le premier émane de l'ancien compagnon de l'une des recourantes, le second d'un garçon âgé de douze ans au moment des faits litigieux. De plus, comme le relève justement l'autorité intimée, l'un rapporte que le chauffeur regardait son téléphone portable au moment de l'accident tandis que l'autre affirme qu'il réglait l'autoradio du véhicule. Ces éléments ne suffisent toutefois pas à leur ôter toute crédibilité. En effet, B.________ n'est plus l'ami intime de la recourante AX.________ depuis plusieurs années et avait même refusé de témoigner dans un premier temps, savoir lors de son interpellation par le SJL en mai 2013, de sorte que sa bonne foi ne saurait être remise en cause. Quant à C.________, il n'y a pas lieu de douter du fait qu'il était également l'un des passagers de la voiture accidentée, le nombre de personnes décédées n'étant pas clairement déterminé. L'âge qu'avait ce jeune homme au moment des faits sur lesquels il s'est exprimé n'est d'ailleurs pas décisif en soi, même s'il sied d'en tenir compte dans l'appréciation de la déposition (cf. Perrier, in: Code de procédure pénale suisse – Commentaire romand, Bâle 2011, n. 13 ad art. 178 CPP et les références). Dès cet âge en effet, l'enfant est supposé être déjà capable de discernement (cf. ATF 120 Ia 369 consid. 1a, cité notamment par Bendani, in: Code de procédure pénale suisse – Commentaire romand, Bâle 2011, n. 7 ad art. 106 CPP et les références). Peu importe en outre l'objet que le chauffeur manipulait lorsque l'accident a eu lieu, l'essentiel étant qu'à cet instant, l'attention qu'il vouait à la route a été déportée vers quelque manœuvre qui n'avait pas trait à la conduite. Quoi qu'il en soit, même en faisant abstraction de ces deux témoignages, force est de constater que la thèse soutenue par les recourants apparaît bien comme la plus vraisemblable au regard de l'ensemble des circonstances du cas d'espèce. En effet, ainsi qu'il ressort du rapport médical du CHUV du 29 juin 2011 (pièce 18 du bordereau produit à l'appui de la demande d'indemnisation du 28 décembre 2011), la recourante AX.________ avait confié au Dr D.________, à l'occasion de différentes consultations en février, mars et avril 2009, qu'elle se sentait coupable "de ne pas avoir été plus attentive et de ne pas avoir interpellé le chauffeur qui roulait imprudemment", allant même jusqu'à se culpabiliser "de s'en être sortie si bien, avec une seule cicatrice, qu'elle néglige". Le rapport médical de la Dresse E.________, psychiatre et psychothérapeute, du 31 juillet 2011 (pièce 28 de ce même bordereau), va dans le même sens puisqu'il rapporte, sur la base du suivi de la recourante CX.________ de novembre 2008 à avril 2009, que "le chauffeur du véhicule aurait été inattentif et le véhicule a roulé dans le ravin en faisant des tonneaux". Ainsi, quand bien même ces deux documents ont été établis à la demande du conseil des recourants, en vue d'une requête d'indemnisation au SJL, ils se réfèrent à des confidences recueillies en 2008 et 2009, soit l'année même ou suivant l'accident, alors que la présente procédure n'avait pas encore été engagée. Ils sont donc suffisamment probants pour rendre vraisemblable que le chauffeur conduisait de façon inadaptée, voire téméraire au moment des faits, et que son inattention aurait été à l'origine de l'accident. En revanche, les autres hypothèses soulevées par l'autorité intimée, qu'elle qualifie elle-même de "possibles", ne sont étayées par aucun élément au dossier. En particulier, rien ne permet de supposer que le chauffeur incriminé ait été en proie à un malaise ou à quelqu'autre problème de santé. De même, aucun indice ne laisse soupçonner que le véhicule accidenté était défectueux. Quant aux mauvaises conditions de circulation prévalant de manière générale en Haïti, elles n'entraînent pas nécessairement d'issues aussi dramatiques. A défaut de toute trace au dossier privilégiant l'une ou l'autre de ces hypothèses, celles-ci ne peuvent raisonnablement entrer en considération. Enfin, le fait que la route en question ait été décrite comme une piste sinueuse et caillouteuse par les deux témoignages écrits (à apprécier avec retenue) ne suffit pas non plus à présumer que cette configuration ait été à l'origine de l'accident indépendamment d'une négligence du chauffeur, ce d'autant moins que les autres véhicules impliqués le jour en question n'ont pas connu le même sort. En conséquence, même s'il est indéniable que les circonstances de l'accident du 8 août 2008 demeurent passablement obscures à ce jour, il y a lieu de considérer, au vu de l'ensemble des éléments du cas d'espèce, que la thèse des recourants selon laquelle le chauffeur aurait provoqué la chute du véhicule en raison d'une inattention coupable, reste néanmoins la plus probable. L'existence d'une infraction peut dès lors être tenue pour établie, au degré de la vraisemblance prépondérante. d) En conclusion, c'est à tort que l'autorité intimée a nié l'existence d'une infraction pénale au sens de l'art. 2 al. 1 aLAVI. Il en découle que la qualité de victimes doit être reconnue aux recourants. Pour le surplus, il appartient à l'autorité intimée d'examiner les autres conditions de l'octroi d'une indemnisation et d'une réparation morale au titre de l'aide aux victimes d'infractions et d'en fixer le montant au sens des art. 11 ss aLAVI.</w:t>
      </w:r>
    </w:p>
    <w:p>
      <w:r>
        <w:rPr>
          <w:b/>
        </w:rPr>
        <w:t>E. 7</w:t>
      </w:r>
    </w:p>
    <w:p>
      <w:r>
        <w:t>En définitive, le recours doit être admis, la décision attaquée annulée et la cause renvoyée à l'autorité intimée pour complément d'instruction et nouvelle décision. Il n'y a pas lieu de percevoir un émolument judiciaire, la procédure étant gratuite (cf. art. 16 al. 1 aLAVI). Les recourants, qui obtiennent gain de cause avec le concours d'un mandataire professionnel, ont droit à une indemnité à titre de dépens (cf. art. 55 al. 1 LPA-VD), dont il convient d'arrêter le montant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