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GE.2013.0154 vom 14. Januar 2014</w:t>
      </w:r>
    </w:p>
    <w:p>
      <w:r>
        <w:t>VD Tribunal cantonal, 2014-01-14, FR</w:t>
      </w:r>
    </w:p>
    <w:p>
      <w:r>
        <w:rPr>
          <w:b/>
        </w:rPr>
        <w:t xml:space="preserve">Quelle: </w:t>
      </w:r>
      <w:r>
        <w:t>https://mcp.opencaselaw.ch/entscheid/vd_omni_GE.2013.0154</w:t>
      </w:r>
    </w:p>
    <w:p>
      <w:r>
        <w:t>FR: VD_OMNI GE.2013.0154 du 14 janvier 2014</w:t>
      </w:r>
    </w:p>
    <w:p>
      <w:r>
        <w:t>IT: VD_OMNI GE.2013.0154 del 14 gennaio 2014</w:t>
      </w:r>
    </w:p>
    <w:p>
      <w:pPr>
        <w:pStyle w:val="Heading2"/>
      </w:pPr>
      <w:r>
        <w:t>Regeste</w:t>
      </w:r>
    </w:p>
    <w:p>
      <w:r>
        <w:t>X.________ Sàrl c/Service de l'emploi Contrôle du marché du travail et protection des travailleurs | Violation du devoir de diligence de l'employeur en matière de police des étrangers. En tant qu'employeur de fait, la société recourante devait procéder à la vérification du statut légal des travailleurs mis à sa disposition. Ce manque de diligence est constitutif d'une infraction au droit fédéral des étrangers. La société concernée est ainsi amenée à supporter les frais liés au contrôle durant lequel ces irrégularités ont été constatées. Les frais mis à sa charge sont confirmés et le recours rejeté.</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Déposé dans le délai de trente jours fixé par l’art. 95 LPA-VD, le recours est intervenu en temps utile. Il respecte au surplus les conditions formelles énoncées à l’art. 79 LPA-VD.</w:t>
      </w:r>
    </w:p>
    <w:p>
      <w:r>
        <w:rPr>
          <w:b/>
        </w:rPr>
        <w:t>E. 2</w:t>
      </w:r>
    </w:p>
    <w:p>
      <w:r>
        <w:t>La recourante conteste avoir commis une violation de son devoir de diligence en matière de police des étrangers dès lors qu’elle n’était pas formellement l’employeur des trois ressortissants kosovars actifs sur le chantier au moment du contrôle litigieux. a) Selon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Est considérée comme activité lucrative toute activité salariée ou indépendante qui procure normalement un gain, même si elle est exercée gratuitement. En cas d’activité salariée, la demande d’autorisation est déposée par l’employeur. Dans ce cadre, il résulte de l'art. 91 al. 1 LEtr qu'avant d'engager un étranger, l'employeur doit s'assurer qu'il est autorisé à exercer une activité lucrative en Suisse en examinant son titre de séjour ou en se renseignant auprès des autorités compétentes. Le non-respect de cette obligation expose l'employeur à la sanction prévue par l'art. 122 LEtr.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PE.2010.0302 du 3 novembre 2011 consid. 3a et les références). La loi fédérale sur les étrangers part d'une notion factuelle d'employeur. Est considéré comme tel quiconque occupe un travailleur étranger sous ses pouvoirs de direction, avec ses outils ou dans ses locaux commerciaux. Il en va notamment ainsi du gérant d’un bordel qui, entre autres fonctions, est responsable de l’infrastructure et décide quelles étrangères peuvent travailler en tant que prostituées dans l’établissement (cf. également ATF 128 IV 170). Il est indifférent que les parties soient liées par un contrat de travail écrit. Dans le cas de la location de services, c’est l'entreprise de mission – c'est-à-dire l'entreprise dans laquelle le travailleur étranger exécute effectivement son travail – qui est considérée comme l'employeur de fait et non l’entreprise qui met le personnel à disposition. En revanche, dans le cas du contrat de mandat ou du contrat d'entreprise conclu avec un prestataire de services suisse, le mandant n'a aucune obligation légale de contrôler les autorisations des travailleurs étrangers occupés par le mandataire ou le preneur d'ouvrage. Il en va notamment ainsi en cas de sous-traitance liée à un contrat d’entreprise (Office fédéral des migrations, Directives domaine des étrangers, 4.8.8.2). En application de l'art. 28 al. 1 de la loi sur la procédure administrative du 28 octobre 2008 ( LPA-VD; RSV 173.36), l'autorité établit les faits d'office. b) En l’espèce, la société X.________ Sàrl a eu recours pour une durée déterminée à trois travailleurs étrangers mis à sa disposition par la société C.________ Sàrl afin d’effectuer des travaux d’isolation périphérique sur un immeuble en construction. Ainsi que le fait valoir l’autorité intimée pour justifier la décision querellée, la société recourante peut ainsi être considérée en tant qu’employeur de fait. Reste toutefois à déterminer l’étendue exacte de son devoir de diligence quant à la vérification du statut légal de ces travailleurs. Comme précédemment évoqué, cette question doit principalement être appréciée en fonction de la qualification juridique du contrat de droit privé qui régit les relations entre les sociétés impliquées. On relèvera à ce titre que ce n’est pas la dénomination de l’accord qui fait foi mais bien la volonté commune exprimée par les parties quand aux prestations à échanger ( Pierre Tercier/Pascal Favre , Les contrats spéciaux, 4 ème éd, 2009, N. 270). Ainsi, quand bien même l’accord litigieux est intitulé « contrat de collaboration en sous-traitance », aucun élément ne permet en l’espèce de penser que les parties aient véritablement entendu conclure un contrat d’entreprise (cf. art. 363 CO). Rien n’indique en effet que les prestations échangées portent sur l’exécution d’un ouvrage sous la responsabilité de la société tierce moyennant un prix déterminé. Il semble au contraire que les travailleurs actifs sur le chantier aient été placés sous la responsabilité de la société recourante dès lors que le contrat litigieux ne porte que sur la mise à disposition de personnel en vue des travaux d’isolation à effectuer. L’accord passé entre les parties s’apparente ainsi davantage à de la location de personnel à titre occasionnel; contrat par lequel un entrepreneur met à disposition d’un autre quelques ouvriers pour une certaine durée ( Tercier/Favre , op. cit. , N. 3275). Il est en effet relativement courant dans le domaine de la construction que l’entrepreneur recoure pour l’exécution de certains travaux à du personnel dont les services lui sont momentanément loués par un autre entrepreneur disposant d’une surcapacité d’effectif ( Luc Thénevoz , La location de services dans le bâtiment, in: DC 3/94, p. 68ss). La mise à disposition occasionnelle de travailleurs n’est certes pas assujettie à l’autorisation prévue dans la loi fédérale sur le service de l’emploi et la location de service du 6 octobre 1989 (LES ; RS 823.11) dans la mesure où la société C.________ Sàrl ne fait en l’espèce “ pas commerce de céder à des tiers les services de travailleurs “ (cf. art. 12 LES). Il n’en demeure pas moins que cette activité se rapproche de la location de services sous l’angle des droits et des devoirs qui incombent à la société X.________ Sàrl en tant qu’employeur de fait. Sous l’angle du droit des étrangers, la société recourante ne pouvait ainsi se dispenser d’examiner si les travailleurs actifs sur le chantier étaient ou non autorisés à exercer une activité lucrative en Suisse. En effet, le contrat passé entre les parties ne donne aucune indication quant au statut légal de ces travailleurs. Elle aurait ainsi dû exiger la production des autorisations de travail de la part de son partenaire contractuel ou procéder elle-même aux vérifications nécessaires. C’est ainsi à juste titre que l’autorité intimée a retenu dans sa décision du 21 août 2013 que, sur le principe, le manque de diligence de la société X.________ Sàrl devait être sanctionné. c) La société recourante, déjà condamnée à plusieurs reprises par le passé pour des faits similaires, ne conteste du reste pas la nature ou la quotité de la sanction prononcée à son encontre, à savoir le refus d'entrer en matière sur toute demande de main-d'oeuvre étrangère pour une durée de six mois. Dans ces conditions, nul n’est besoin d’examiner plus avant cette question dans le cadre du présent recours. On se bornera uniquement à rappeler qu’en cas de récidive, la cour de céans a admis à plusieurs reprises qu’une sanction puisse être prononcée même en l’absence de sommation préalable (v. en dernier lieu arrêt PE.2013.0024 du 29 juillet 2013). Par ailleurs, la perception d’un émolument administratif est bel et bien justifiée en l’espèce dès lors que c’est bien le manque de diligence de la société recourante qui a appelé le prononcé de la sanction litigieuse et les frais qui y sont liés (cf. art. 123 al. 1 LEtr et art. 5 al. 1 ch. 23b du règlement vaudois du 8 janvier 2001 fixant les émoluments en matière administrative [RE-Adm; RSV 172.55.1]).</w:t>
      </w:r>
    </w:p>
    <w:p>
      <w:r>
        <w:rPr>
          <w:b/>
        </w:rPr>
        <w:t>E. 3</w:t>
      </w:r>
    </w:p>
    <w:p>
      <w:r>
        <w:t>Cela étant, il convient de distinguer l’émolument lié à la décision précitée et les frais de contrôles facturés en lien avec l’intervention des inspecteurs de l’autorité intimée que la société recourante entend contester. a) La loi fédérale du 17 juin 2005 concernant des mesures en matière de lutte contre le travail au noir (Loi sur le travail au noir; LTN; RS 822.41), entrée en vigueur le 1 er janvier 2008, institue des mécanismes de contrôle et de répression (art. 1 LTN). Les cantons doivent désigner, dans le cadre de leur législation, l’organe de contrôle cantonal compétent sur leur territoire (art.</w:t>
      </w:r>
    </w:p>
    <w:p>
      <w:r>
        <w:rPr>
          <w:b/>
        </w:rPr>
        <w:t>E. 4</w:t>
      </w:r>
    </w:p>
    <w:p>
      <w:r>
        <w:t>Les considérants qui précèdent conduisent au rejet du recours et à la confirmation des deux décisions attaquées. La recourante, qui succombe, supportera les frais de justice (art. 49 al. 1 LPA-VD). Il n'y a en outre pas lieu d'allouer de dépens en l’espèce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