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GE.2013.0084 vom 27. Dezember 2013</w:t>
      </w:r>
    </w:p>
    <w:p>
      <w:r>
        <w:t>VD Tribunal cantonal, 2013-12-27, FR</w:t>
      </w:r>
    </w:p>
    <w:p>
      <w:r>
        <w:rPr>
          <w:b/>
        </w:rPr>
        <w:t xml:space="preserve">Quelle: </w:t>
      </w:r>
      <w:r>
        <w:t>https://mcp.opencaselaw.ch/entscheid/vd_omni_GE.2013.0084</w:t>
      </w:r>
    </w:p>
    <w:p>
      <w:r>
        <w:t>FR: VD_OMNI GE.2013.0084 du 27 décembre 2013</w:t>
      </w:r>
    </w:p>
    <w:p>
      <w:r>
        <w:t>IT: VD_OMNI GE.2013.0084 del 27 dicembre 2013</w:t>
      </w:r>
    </w:p>
    <w:p>
      <w:pPr>
        <w:pStyle w:val="Heading2"/>
      </w:pPr>
      <w:r>
        <w:t>Regeste</w:t>
      </w:r>
    </w:p>
    <w:p>
      <w:r>
        <w:t>X.________ AG/Service de l'emploi Contrôle du marché du travail | Le tribunal ayant retenu que la recourante avait employé sans autorisation un étranger (dossier PE.2013.0161), il y a lieu de confirmer la décision mettant à la charge de cette dernière les frais de contrôle, dans son principe et sa quotité.</w:t>
      </w:r>
    </w:p>
    <w:p>
      <w:pPr>
        <w:pStyle w:val="Heading2"/>
      </w:pPr>
      <w:r>
        <w:t>Erwägungen</w:t>
      </w:r>
    </w:p>
    <w:p>
      <w:r>
        <w:rPr>
          <w:b/>
        </w:rPr>
        <w:t>E. 1</w:t>
      </w:r>
    </w:p>
    <w:p>
      <w:r>
        <w:t>a) La loi fédérale du 17 juin 2005 concernant des mesures en matière de lutte contre le travail au noir (LTN; RS 822.41), entrée en vigueur le 1er janvier 2008, institue en particulier des mécanismes de contrôle et de répression (art. 1 LTN). Les cantons doivent désigner, dans le cadre de leur législation, l’organe de contrôle cantonal compétent sur leur territoire (art. 4 al. 1 LTN). La loi vaudoise du 5 juillet 2005 sur l'emploi (LEmp; RSV 822.11), entrée en vigueur le 1er janvier 2006, a notamment pour but de mettre en œuvre les mesures de lutte contre le travail au noir (art. 1 al. 2 let. g LEmp). Le SDE est l’organe de contrôle cantonal compétent (art. 72 al. 2 LEmp).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al. 2 que les personnes contrôlées n’ayant pas respecté leurs obligations en matière d’annonce et d’autorisation visées à l’art. 6 LTN s’acquittent d’un émolument d’un montant de 100 fr. par heure. La jurisprudence a précisé qu'il suffisait que l'on puisse reprocher au recourant une atteinte au sens de l'art.</w:t>
      </w:r>
    </w:p>
    <w:p>
      <w:r>
        <w:rPr>
          <w:b/>
        </w:rPr>
        <w:t>E. 6</w:t>
      </w:r>
    </w:p>
    <w:p>
      <w:r>
        <w:t>LTN pour que les frais du contrôle puissent être mis à sa charge (GE.2009.0080 du 30 octobre 2009 consid. 3b où seules les infractions au droit des étrangers ont été examinées). b) En l'espèce, le tribunal a retenu que la recourante avait employé sans autorisation un employé de nationalité étrangère et violé ses obligations résultant de l'art. 91 al. LEtr (cf. arrêt PE.2013.0161 précité). Ainsi, en présence d'une infraction au sens de l'art. 6 LTN, c'est à juste titre que le SDE a mis les frais de contrôle à la charge de la recourante, qui ne conteste au demeurant ni le tarif appliqué ni le décompte d'heures effectuées par l'autorité intimée. Quant au montant des frais, il ne varie pas en fonction du caractère intentionnel ou non des infractions commises, et du type ou du nombre d'infractions aux prescriptions légales constatées, mais doit être calculé en fonction du temps qui a été effectivement consacré au contrôle et à son suivi administratif (cf. art. 7 al. 2 OTN et arrêt GE.2009.0226 du 20 mai 2010 consid. 2d et les références citées), ceci en application notamment du principe de l’équivalence (pour une définition du principe de l’équivalence, cf. GE.2008.0012 du 17 septembre 2009). En l'espèce, le montant de 1'375 fr. (pour 13h45 de travail) exigé au titre de frais de contrôle apparaît comme objectivement et raisonnablement proportionné à la prestation fournie par l'Etat. En effet, le décompte détaillé des heures de travail effectuées permet de constater que le temps consacré aux diverses activités énoncées reste dans des limites admissibles. 2. Les considérants qui précèdent conduisent au rejet du recours aux frais de la recourante (art. 49 al. 1 de la loi sur la procédure administrative du 28 octobre 2008; LPA-VD; RSV 173.36) et à la confirmation de la décision attaquée.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