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GE.2013.0021 vom 19. März 2013</w:t>
      </w:r>
    </w:p>
    <w:p>
      <w:r>
        <w:t>VD Tribunal cantonal, 2013-03-19, FR</w:t>
      </w:r>
    </w:p>
    <w:p>
      <w:r>
        <w:rPr>
          <w:b/>
        </w:rPr>
        <w:t xml:space="preserve">Quelle: </w:t>
      </w:r>
      <w:r>
        <w:t>https://mcp.opencaselaw.ch/entscheid/vd_omni_GE.2013.0021</w:t>
      </w:r>
    </w:p>
    <w:p>
      <w:r>
        <w:t>FR: VD_OMNI GE.2013.0021 du 19 mars 2013</w:t>
      </w:r>
    </w:p>
    <w:p>
      <w:r>
        <w:t>IT: VD_OMNI GE.2013.0021 del 19 marzo 2013</w:t>
      </w:r>
    </w:p>
    <w:p>
      <w:pPr>
        <w:pStyle w:val="Heading2"/>
      </w:pPr>
      <w:r>
        <w:t>Regeste</w:t>
      </w:r>
    </w:p>
    <w:p>
      <w:r>
        <w:t>X.________ Sàrl c/Service de l'emploi Contrôle du marché du travail et protection des travailleurs | Recours déclaré irrecevable, faute d'avance de frais effectuée dans le délai imparti.</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