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GE.2012.0216 vom 30. April 2013</w:t>
      </w:r>
    </w:p>
    <w:p>
      <w:r>
        <w:t>VD Tribunal cantonal, 2013-04-30, FR</w:t>
      </w:r>
    </w:p>
    <w:p>
      <w:r>
        <w:rPr>
          <w:b/>
        </w:rPr>
        <w:t xml:space="preserve">Quelle: </w:t>
      </w:r>
      <w:r>
        <w:t>https://mcp.opencaselaw.ch/entscheid/vd_omni_GE.2012.0216</w:t>
      </w:r>
    </w:p>
    <w:p>
      <w:r>
        <w:t>FR: VD_OMNI GE.2012.0216 du 30 avril 2013</w:t>
      </w:r>
    </w:p>
    <w:p>
      <w:r>
        <w:t>IT: VD_OMNI GE.2012.0216 del 30 aprile 2013</w:t>
      </w:r>
    </w:p>
    <w:p>
      <w:pPr>
        <w:pStyle w:val="Heading2"/>
      </w:pPr>
      <w:r>
        <w:t>Regeste</w:t>
      </w:r>
    </w:p>
    <w:p>
      <w:r>
        <w:t>X.________ SARL c/Service de l'emploi Contrôle du marché du travail et Service de la population (SPOP) | Travail au noir. Facturation des frais de contrôle. En occupant deux ressortissants étrangers non autorisés à séjourner et à travailler en Suisse, la recourante a enfreint ses obligations au sens de l'art. 6 LTN. Cela étant, l'autorité intimée était en droit de mettre à sa charge les frais occasionnés par le contrôle. Pour le surplus, la recourante ne conteste ni le tarif horaire appliqué, ni le décompte d'heures effectué par l'autorité intimée.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17 juin 2005 concernant les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dont la dernière modification, par la loi du 28 octobre 2008, est entrée en vigueur le 1 er janvier 2009,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Le montant des frais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(cf. art. 7 al. 2 OTN et arrêt GE.2007.0148 du 28 septembre 2007 consid. 1c et les références citées), ceci en application notamment du principe de l’équivalence (pour une définition du principe de l’équivalence, cf. GE.2008.0012 du 17 septembre 2009).</w:t>
      </w:r>
    </w:p>
    <w:p>
      <w:r>
        <w:rPr>
          <w:b/>
        </w:rPr>
        <w:t>E. 3</w:t>
      </w:r>
    </w:p>
    <w:p>
      <w:r>
        <w:t>En l'espèce, la recourante conteste avoir commis une infraction aux dispositions du droit des étrangers. Elle soutient que les employés Z.________ et A.________ lui ont en effet été "prêtés" par l'entreprise B.________ Sàrl. Ces allégations sont toutefois contredites par les déclarations des principaux intéressés. En effet, lors du contrôle du 30 avril 2012, Z.________ a expliqué aux inspecteurs qu'il travaillait depuis environ quatre mois pour l'entreprise X.________ Sàrl pour un salaire de 130 fr. la journée et que c'est son employeur "Y.________" qui l'amenait le matin sur le chantier. A.________ a déclaré pour sa part qu'il travaillait depuis le matin même pour l'entreprise X.________ Sàrl, qu'il ignorait combien il allait être rémunéré et que c'est son employeur "Y.________" qui l'avait conduit sur le chantier. Entendus le même jour par la Police cantonale vaudoise, Z.________ et A.________ ont confirmé travailler pour l'entreprise X.________ Sàrl. On ne voit pas pour quels motifs ils auraient menti sur l'identité de leur employeur. En outre, interpellé en cours de procédure par le Service de l'emploi, l'administrateur de B.________ Sàrl a fermement contesté avoir "prêté" Z.________ et A.________ à la recourante, indiquant qu'il ne connaissait pas ces personnes. Certes, il s'est ravisé lors de l'audience. Ces rétractations sont toutefois sujettes à caution. En effet, les déclarations des administrateurs des deux entreprises sur le déroulement des faits ne sont pas concordantes. Selon Y.________, il aurait appelé C.________ en décembre 2011 pour qu'il lui "prête" deux employés pour le mois de mars-avril 2012. Or, d'après C.________, l'appel en question serait survenu quelques jours avant la mise à disposition des ouvriers. Par ailleurs, les explications données par C.________ pour justifier ses rétractations sont peu convaincantes. Enfin, le fait que Y.________ a varié dans ses explications au cours de son audition ne permet pas d'accorder beaucoup de crédit à la thèse du "prêt d'employés" . En effet, après avoir indiqué qu'il y avait peu de travail sur le chantier de 2******** en début d'année 2012, ce qui expliquait que seuls ses collègues y étaient employés, il a bien dû admettre avoir fait l'objet à cette époque d'un contrôle sur ce chantier, qui déjà a révélé la présence d'une autre personne non autorisée à exercer une activité lucrative (G.________). Ces éléments conduisent la Cour à tenir pour établi que la recourante était bien l'employeur de Z.________ et A.________ et qu'elle a failli au devoir de diligence qui lui incombait en application de l'art. 91 de la loi fédérale du 16 décembre 2005 sur les étrangers (LEtr; RS 142.20), en ne s'assurant pas que ces personnes étaient autorisées à exercer une activité lucrative en Suisse. De toute manière, même si l'on retenait les allégations de la recourante, elle devrait être considérée, en sa qualité de "locataire de services" , comme l' "employeur de fait" de Z.________ et A.________ et soumise à ce titre au devoir de diligence de l'art. 91 LEtr. Selon la jurisprudence, la notion d'employeur en matière de droit des étrangers est en effet une notion autonome qui vise l'employeur de fait et ne se limite pas à celle du droit des obligations (voir à cet égard, arrêt 2C_357/2009 du 16 novembre 2009 consid. 4.2; ATF 128 IV 170 consid. 4.1 p. 174; ATF 99 IV 110 consid. 1 et 4; ég. Felix Klaus, Ausländische Personen als Arbeitnehmende, in Ausländerrecht, Uebersax/ Rudin/Hugi Yar/Geiser éd., Bâle 2009, n° 17.246 ). Cela étant, c'est à juste titre que l'autorité intimée a mis les frais occasionnés par le contrôle du 30 avril 2012 à la charge de la recourante, qui ne conteste pour le surplus ni le tarif horaire appliqué, ni le décompte d'heures effectué par l'autorité intimée.</w:t>
      </w:r>
    </w:p>
    <w:p>
      <w:r>
        <w:rPr>
          <w:b/>
        </w:rPr>
        <w:t>E. 4</w:t>
      </w:r>
    </w:p>
    <w:p>
      <w:r>
        <w:t>Les considérants qui précèdent conduisent au rejet du recours et à la confirmation de la décision attaquée. La recourante, qui succombe, supportera les frais de justice (art. 49 al. 1 LPA-VD), qui sont fixés à un montant de 660 fr., indemnités de témoin comprises (art. 8 du Tarif du 11 décembre 2007 des frais judiciaires en matière de droit administratif et public – TFJAP; RSV 173.36.5.1). La recourante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