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GE.2012.0197 vom 13. Dezember 2012</w:t>
      </w:r>
    </w:p>
    <w:p>
      <w:r>
        <w:t>VD Tribunal cantonal, 2012-12-13, FR</w:t>
      </w:r>
    </w:p>
    <w:p>
      <w:r>
        <w:rPr>
          <w:b/>
        </w:rPr>
        <w:t xml:space="preserve">Quelle: </w:t>
      </w:r>
      <w:r>
        <w:t>https://mcp.opencaselaw.ch/entscheid/vd_omni_GE.2012.0197</w:t>
      </w:r>
    </w:p>
    <w:p>
      <w:r>
        <w:t>FR: VD_OMNI GE.2012.0197 du 13 décembre 2012</w:t>
      </w:r>
    </w:p>
    <w:p>
      <w:r>
        <w:t>IT: VD_OMNI GE.2012.0197 del 13 dicembre 2012</w:t>
      </w:r>
    </w:p>
    <w:p>
      <w:pPr>
        <w:pStyle w:val="Heading2"/>
      </w:pPr>
      <w:r>
        <w:t>Regeste</w:t>
      </w:r>
    </w:p>
    <w:p>
      <w:r>
        <w:t>X.________ c/Département des infrastructures, Municipalité de Château-d'Oex, Service des forêts, de la faune et de la nature | Confirmation du refus de délivrer au recourant l'autorisation saisonnière de circuler à travers les pâturages au moyen d'un véhicule à chenilles pour rejoindre son chalet, affecté en tant que résidence secondaire, durant la saison hivernale. L'intérêt privé du recourant se heurte à la protection de la faune, ce qui doit conduire l'autorité à limiter de façon stricte l'usage des véhicules à chenilles. Depuis trois ans du reste, le recourant accède à son chalet à pied durant la saison hivernale; on peut dès lors attendre de sa part qu'il continue à effectuer sans difficulté majeure à pied la distance séparant le lieu de stationnement de son véhicule de son chalet, comme le font en hiver la plupart des propriétaires de chalets situés hors zone à bâtir, ceci d'autant plus qu'il ne s'agit que d'un trajet d'un kilomètre à peine. Aucune violation du principe de l'égalité de traitement, puisqu'il apparaît que sa situation ne saurait être comparée à celle son voisin, paysan de montagne qui dispose d'une telle autorisation.</w:t>
      </w:r>
    </w:p>
    <w:p>
      <w:pPr>
        <w:pStyle w:val="Heading2"/>
      </w:pPr>
      <w:r>
        <w:t>Erwägungen</w:t>
      </w:r>
    </w:p>
    <w:p>
      <w:r>
        <w:rPr>
          <w:b/>
        </w:rPr>
        <w:t>E. 1</w:t>
      </w:r>
    </w:p>
    <w:p>
      <w:r>
        <w:t>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a) Cette disposition a repris en substance le contenu de l'art. 37 de la loi du 18 décembre 1989 sur la juridiction et la procédure administratives,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en vigueur jusqu'au 31 décembre 2006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ATF 129 I 113 consid.</w:t>
      </w:r>
    </w:p>
    <w:p>
      <w:r>
        <w:rPr>
          <w:b/>
        </w:rPr>
        <w:t>E. 1.7</w:t>
      </w:r>
    </w:p>
    <w:p>
      <w:r>
        <w:t>p. 119). b) En l’occurrence, l’autorisation requise, que l’autorité intimée a refusée au recourant, est valable une saison, soit du 1 er décembre au 30 avril suivant (art. 4 al. 2 de la loi du 10 septembre 1974 sur l'usage des véhicules à chenilles pendant l'hiver – RSV 743.05; LVCh). Elle n’a d’objet que lorsque la route de 2******** s’avère impraticable, soit essentiellement durant la saison hivernale et en raison de l’enneigement. Or, cette circonstance est susceptible de se produire avant l’échéance de l’autorisation requise, de sorte que l’intérêt actuel au recours subsiste. Il y a donc lieu d’entrer en matière.</w:t>
      </w:r>
    </w:p>
    <w:p>
      <w:r>
        <w:rPr>
          <w:b/>
        </w:rPr>
        <w:t>E. 2</w:t>
      </w:r>
    </w:p>
    <w:p>
      <w:r>
        <w:t>al. 1 LVCh interdisait les véhicules à chenilles "en dehors des routes et chemins publics ouverts au trafic hivernal des autres véhicules à moteur". Saisi d'un recours, le Tribunal fédéral a jugé que cette disposition était incompatible avec la législation fédérale sur la circulation routière. Selon l'arrêt (ATF 101 Ia 565), cette dernière régit la circulation sur toutes les voies publiques, enneigées ou non, et d'éventuelles restrictions concernant les véhicules à chenilles doivent être ordonnées et signalées conformément aux règles fixées par elle. A défaut, la circulation est libre et elle ne peut pas être restreinte par le droit cantonal. L'interdiction cantonale, avec son régime d'autorisations exceptionnelles, ne peut concerner que les voies publiques visées à l'art. 43 al. 1 LCR et les surfaces extérieures aux voies publiques (arrêt GE.2002.0115 du 29 novembre 2004). La LVCh a donc été adaptée à ce contexte juridique de rang supérieur et s’applique à la circulation hors des voies publiques. b) A teneur de l’art. 3 al. 1 LVCh, en dérogation à l'article 2, le Département des travaux publics (actuellement Département des infrastructures), peut accorder des autorisations de circuler en dehors des voies publiques au moyen de véhicules à chenilles: pour l'exploitation des moyens de remontées mécaniques ainsi que pour la préparation et l'entretien des pistes de ski (let. a); pour la desserte des restaurants de montagne et des cabanes ouvertes au public, s'ils ne disposent pas d'autres moyens d'accès pendant l'hiver (chemin de fer, téléphérique, etc. – let. b); pour l'exploitation agricole et forestière (let. c); pour d'autres cas lorsque le besoin est réel et qu'un autre genre de transport ne convient pas ou ne saurait raisonnablement être exigé (let. d). Dans les cas visas aux lettres a à c, la présomption de l’interdiction de circuler hors des voies publiques est renversée; à moins que des circonstances tout à fait particulières s’y opposent, l’autorisation doit être accordée (v. Exposé des motifs et projet de loi, in: Bulletin du Grand Conseil printemps/septembre 1974, p. 549). S’agissant de la lettre d en revanche, la présomption demeurera celle de l’interdiction; l’autorité administrative jouira cependant d’un certain pouvoir d’appréciation dans le cadre duquel elle pourra accorder une autorisation lorsqu’elle l’estimera justifiée (ibid., pp. 549-550). Cette loi a été précédée d’un arrêté du Conseil d’Etat, du 7 juillet 1971, dont l’art. 4 avait une teneur semblable à l’art. 3 LVCh. Dans ce cadre, les trois recours dont le Conseil d’Etat avait été saisi par des propriétaires de résidences secondaires contre un refus d’autorisation ont été rejetés, au motif que l’intérêt des recourants à accéder à leur chalet devait céder le pas devant l’intérêt public attaché à la sauvegarde du calme et de la tranquillité des régions de montagne (ibid., p. 545). c) L’alinéa 3 de l’art. 3 LVCh retient que les autorisations précisent en outre les conditions d'utilisation des véhicules automobiles à chenilles. Conformément à l’alinéa 4, elles peuvent notamment: délimiter la zone dans laquelle la circulation est autorisée (1 er tiret); imposer un itinéraire d'accès (2 ème tiret); limiter l'autorisation à l'usage d'une catégorie déterminée de véhicules (3 ème tiret); restreindre la durée de l'autorisation ou l'usage des véhicules à certains jours ou à certaines heures (4 ème tiret). La liste des restrictions doit être considérée comme exemplative et non exhaustive (ibid., p. 550).</w:t>
      </w:r>
    </w:p>
    <w:p>
      <w:r>
        <w:rPr>
          <w:b/>
        </w:rPr>
        <w:t>E. 3</w:t>
      </w:r>
    </w:p>
    <w:p>
      <w:r>
        <w:t>Dans le cas d’espèce, on relève que le recours n’a d’objet qu’en ce qui concerne le refus de délivrer au recourant l’autorisation de circuler à travers les pâturages pour rejoindre son chalet. En effet, ce refus n’a aucune portée en tant que le recourant entreprendrait de circuler avec un véhicule à chenilles sur une voie publique, telle que la route de 2********. La demande du recourant relève de l’art. 3 al. 1 let. d LVCh. Pour renverser la présomption de l’interdiction de circuler hors des voies publiques, celui-ci doit donc justifier d’un besoin réel, d’une part, et établir qu’aucun autre genre de transport ne convient ou ne saurait raisonnablement être exigé, d’autre part. Dans le cadre du pouvoir d’appréciation qui lui est concédé, l’autorité intimée a estimé que ces deux conditions cumulatives n’étaient pas réalisées. a) L’intérêt du recourant à pouvoir accéder à son chalet se heurte en premier lieu à un intérêt public prépondérant, à savoir la protection des espèces animales, défendue à l’art. 18 de la loi fédérale du 1 er juillet 1966 sur la nature (LPN; RS 451), que les cantons sont chargés de mettre en œuvre (art. 26 al. 1 de l’ordonnance fédérale sur la protection de la nature et du paysage, du 16 janvier 1991 – OPN ; RS 451.1). Ainsi, la loi vaudoise du 28 février 1989 sur la faune (LFaune; RSV 922.03) autorise, à son article 7, le Conseil d'Etat à prendre les mesures nécessaires pour assurer le développement optimum et la tranquillité de la faune indigène en tenant compte des conditions locales. L’art. 8 al. 1 LFaune précise, pour sa part, qu’après consultation des milieux intéressés, le Conseil d'Etat peut limiter ou réglementer l'usage d'engins ou d'équipements susceptibles de compromettre l'existence de la faune. Le département peut exiger l'adaptation de certaines installations (ibid., al. 2). L’art. 2 al. 1 du règlement d’exécution de la LFaune, du 7 juillet 2004 (RLFaune; RSV 922.03.1) dispose à cet égard qu’il est interdit d'importuner de quelque manière que ce soit la faune sauvage. En l’occurrence, le trajet que le recourant envisage d’emprunter avec son véhicule à chenilles traverse un couloir à faune de type réservoir. Or, cet usage entre clairement en conflit avec la disposition précitée puisqu’il aura pour conséquence de déranger la faune sauvage durant une période où, par surcroît, celle-ci est particulièrement fragilisée par les conditions météorologiques, comme le rappelle à juste titre l’autorité concernée par la présente procédure. La protection de la faune doit dès lors conduire l’autorité à limiter de façon stricte l’usage des véhicules à chenilles. b) Le recourant a acquis la parcelle n° ******** en 2009. Or, durant la saison hivernale et lorsque la route de 2******** est impraticable en raison de l’enneigement et des coulées de neige, le recourant ne peut accéder à son chalet qu’à pied. Cela étant, on gardera à l’esprit que ce bâtiment est affecté en tant que résidence secondaire. Le recourant ne s’y rend donc que durant son temps libre, ce qu’il reconnaît du reste. A cet égard, sa situation se distingue fondamentalement de celle de son voisin, propriétaire de la parcelle n° ********, qui dispose sans doute d’une autorisation de circuler en véhicule à chenilles mais, pour sa part, est exploitant agricole et y habite à l’année, circonstance visée à l’art. 3 al. 1 let. c LVCh. C’est ainsi en vain que le recourant reproche à l’autorité intimée d’avoir violé le principe de l’égalité de traitement, puisqu’il apparaît que sa situation ne saurait être comparée à celle son voisin. Par conséquent, le besoin dont se prévaut le recourant doit être relativisé, ce d’autant plus qu’il ne fait état d’aucune limitation de mouvement d’ordre physique. Depuis trois ans du reste, il accède à son chalet à pied durant la saison hivernale. On peut dès lors attendre de sa part qu’il continue à effectuer sans difficulté majeure à pied la distance séparant le lieu de stationnement de son véhicule de son chalet, comme le font en hiver la plupart des propriétaires de chalets situés hors zone à bâtir. Suivant les conditions météorologiques et le chemin qu’il emprunte, ce trajet pédestre ne devrait par ailleurs guère dépasser un kilomètre, ce qui n’apparaît pas comme étant déraisonnable, surtout au vu de la prépondérance de l’intérêt public qu’il importe de sauvegarder. Quant au matériel prétendument intransportable à pied ou à chenilles, outre le fait que l’allégation du recourant est peu précise, il lui importe de prendre ses dispositions à cet égard lorsque la route de 2******** est praticable, c’est-à-dire durant la majeure partie de l’année en règle générale. c) Pour toutes ces raisons, c’est en vain que le recourant se plaint d’arbitraire. Il appert en effet que l’autorité intimée n’a commis aucun excès dans le pouvoir d’appréciation que la loi lui reconnaît en refusant l’autorisation de circuler requise.</w:t>
      </w:r>
    </w:p>
    <w:p>
      <w:r>
        <w:rPr>
          <w:b/>
        </w:rPr>
        <w:t>E. 4</w:t>
      </w:r>
    </w:p>
    <w:p>
      <w:r>
        <w:t>Les considérants qui précèdent conduisent au rejet du recours et à la confirmation de la décision attaquée. Les mesures provisionnelles requises s’avèrent dès lors sans objet. Le sort du recours commande qu’un émolument judiciaire soit mis à la charge du recourant (art. 48, 49 al. 1 et 91 LPA-VD ). Pour les mêmes motifs,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