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GE.2012.0158 vom 29. August 2013</w:t>
      </w:r>
    </w:p>
    <w:p>
      <w:r>
        <w:t>VD Tribunal cantonal, 2013-08-29, FR</w:t>
      </w:r>
    </w:p>
    <w:p>
      <w:r>
        <w:rPr>
          <w:b/>
        </w:rPr>
        <w:t xml:space="preserve">Quelle: </w:t>
      </w:r>
      <w:r>
        <w:t>https://mcp.opencaselaw.ch/entscheid/vd_omni_GE.2012.0158</w:t>
      </w:r>
    </w:p>
    <w:p>
      <w:r>
        <w:t>FR: VD_OMNI GE.2012.0158 du 29 août 2013</w:t>
      </w:r>
    </w:p>
    <w:p>
      <w:r>
        <w:t>IT: VD_OMNI GE.2012.0158 del 29 agosto 2013</w:t>
      </w:r>
    </w:p>
    <w:p>
      <w:pPr>
        <w:pStyle w:val="Heading2"/>
      </w:pPr>
      <w:r>
        <w:t>Regeste</w:t>
      </w:r>
    </w:p>
    <w:p>
      <w:r>
        <w:t>X.________ c/Municipalité de Montreux | Employé communal engagé à 50% sur la base d'un contrat de droit privé. Il ne découle pas du règlement sur le statut du personnel communal, adopté par la municipalité dans le cadre de son autonomie, que le contrat devait être converti automatiquement en un acte de nomination. En effet, la municipalité peut subordonner la nomination à des conditions, pour autant que celles-ci soient en rapport direct avec la nomination, c'est-à-dire qu'elles puissent justifier objectivement un refus de nomination si elles ne sont pas remplies. En l'espèce, le refus de nommer le recourant était motivé par une incertitude quant à la conservation de son poste et par une incertitude quant au pourcentage de celui-ci s'il venait à être rattaché à un nouveau service. Dans le cadre du processus de régionalisation des services de défense incendie et secours de la Riviera, il a en effet finalement été décidé qu'un 30% du cahier des charges du recourant resterait affecté à la commune de Montreux et le solde de 20% passerait au service "Sécurité Riviera". Le recourant estime que le but recherché par la municipalité pouvait être atteint même en procédant à la nomination car les dispositions du statut du personnel permettent d'opérer une réorganisation. Le règlement communal prévoit certes la possibilité de supprimer une fonction, mais la municipalité est alors tenue d'offrir au fonctionnaire concerné un autre poste. Pas certain, en l'occurrence, que la municipalité avait à disposition un autre poste à 20% à offrir au recourant. Recours rejeté.</w:t>
      </w:r>
    </w:p>
    <w:p>
      <w:pPr>
        <w:pStyle w:val="Heading2"/>
      </w:pPr>
      <w:r>
        <w:t>Erwägungen</w:t>
      </w:r>
    </w:p>
    <w:p>
      <w:r>
        <w:rPr>
          <w:b/>
        </w:rPr>
        <w:t>E. 1</w:t>
      </w:r>
    </w:p>
    <w:p>
      <w:r>
        <w:t>Le recourant soutient que l’autorité intimée a violé le règlement communal sur le statut des fonctionnaires en refusant de le nommer au poste de fonctionnaire. L’autorité intimée conteste et invoque que toutes les questions relatives à la gestion du personnel communal, y compris celles relatives au statut de fonctionnaire, sont régies par le règlement sur le statut du personnel communal, ainsi que par le règlement d’application du statut du personnel communal. a) Conformément à l’art. 6 al. 1 de la loi vaudoise du 28 octobre 2008 sur la procédure administrative (LPA-VD; RSV 173.36), le Tribunal cantonal examine d'office s’il est compétent. Selon l'art. 92 al. 1 LPA-VD, la CDAP connaît des recours contre les décisions et décisions sur recours rendues par les autorités administratives, lorsque la loi ne prévoit aucune autre autorité pour en connaître. Aux termes de l'art. 3 al. 1 LPA-VD, est une décision toute mesure prise par une autorité dans un cas d'espèce, en application du droit public, et ayant pour objet de créer, de modifier ou d'annuler des droits et obligations (a), de constater l'existence, l'inexistence ou l'étendue de droits et d'obligations (b) ou de rejeter ou de déclarer irrecevables des demandes tendant à créer, modifier, annuler ou constater des droits et obligations (c). b) L'art. 50 al. 1 de la Constitution fédérale de la Confédération suisse du 18 avril 1999 (Cst.; RS 101) dispose que l'autonomie communale est garantie dans les limites fixées par le droit cantonal. Selon la jurisprudence, une commune est autonome dans les domaines que le droit cantonal ne règle pas de façon exhaustive, mais laisse en tout ou partie dans la sphère communale en conférant aux autorités municipales une liberté de décision appréciable ( ATF 129 I 313 consid. 5.2 p. 320). L'existence et l'étendue de l'autonomie communale dans une matière concrète sont déterminées essentiellement par la constitution et la législation cantonales, voire exceptionnellement par le droit cantonal non écrit et coutumier ( ATF 122 I 279 consid. 8b p. 290; 115 Ia 42 consid. 3 p. 44). En droit vaudois, le principe de l'autonomie communale découle de l'art. 139 let. b de la Constitution du canton de Vaud du 14 avril 2003 (Cst-VD; RSV 101.01), lequel prévoit que les communes disposent d'autonomie dans l'administration de la commune. L'art. 2 LC énumère les attributions et les tâches propres des autorités communales, parmi lesquelles figure l'organisation de l'administration communale (al. 2 let. a). Selon l'art. 4 al. 1 ch. 9 LC, le conseil général ou communal délibère sur le statut des fonctionnaires communaux et la base de leur rémunération. D'après l'art. 42 ch. 3 LC, entrent dans les attributions de la municipalité la nomination des fonctionnaires et employés de la commune, la fixation de leur traitement et l'exercice du pouvoir disciplinaire. La jurisprudence fédérale en déduit que les communes vaudoises jouissent d'autonomie pour régler sur une base de droit public les rapports de travail de leurs fonctionnaires (ATF 1C_539/2008 du 4 mai 2009 consid. 4.2; 2P.137/2005 du 17 octobre 2005 consid. 2; 2P.46/2006 du 7 juin 2006 et réf. cit.). b) Les art. 4 al. 1 ch. 9 LC et 42 ch. 3 LC précités ne constituent toutefois pas une base légale suffisante imposant aux communes de soumettre l'activité de leurs agents au droit public. En effet, ces dispositions se bornent uniquement, lorsque les communes font ce choix, à régler la question des compétences à cet égard. Un examen de l'art. 342 al. 1 let. a CO va dans le même sens. Cette disposition réserve expressément, en matière de contrat de travail, les dispositions de la Confédération, des cantons et des communes concernant les rapports de travail de droit public. Les collectivités publiques disposent ainsi, en principe, de la faculté de fonder l'activité de leurs agents non seulement sur un rapport de service de droit public, mais aussi sur un contrat individuel de droit privé reposant sur le droit des obligations (Adrian Staehelin, in Commentaire zurichois, 3 ème éd., 1996, n° 2 ad art. 342 CO). Il est même loisible aux communes de soumettre certains de leurs agents au droit public, et d'autres au droit privé. c) En vertu de l'art. 94 LC, les communes sont tenues d'avoir un règlement de police et les règlements imposés par la législation cantonale. Elles peuvent avoir d'autres règlements, notamment sur le fonctionnement des autorités et de l'administration communale (al. 1); les règlements imposés par la législation cantonale de même que les règlements ou dispositions de règlements qui confèrent des droits ou obligations aux autorités ou aux particuliers les uns à l'égard des autres n'ont force de loi qu'après avoir été approuvés par le chef de département concerné. La décision d'approbation est publiée dans la Feuille des avis officiels (al. 2). Le législateur cantonal a ainsi voulu qu'hormis un règlement de police et les règlements imposés par la législation cantonale, les communes soient " libres, ce qui constituera un allégement pour beaucoup d'entre elles. Chaque commune fera donc les règlements dont elle estimera avoir besoin, suivant le nombre et l'importance des affaires à régler et l’ampleur de son administration " (Bulletin du Grand Conseil [BGC], exposé des motifs relatif au projet de décret modifiant la Constitution vaudoise du 1 er mars 1885 et projet de loi sur les communes, séance du 30 août 1955, p. 801 ss, spécialement p. 828). Il en résulte que dans le cadre de leur autonomie, les communes ne sont pas tenues d'adopter un règlement aménageant les rapports de travail de leurs agents (étant précisé à toutes fins utiles qu'un tel règlement devrait, cas échéant, être approuvé par les autorités cantonales au sens de l'art. 94 al. 2 LC, cf. RDAF 1989 295 consid. IIII). En l’occurrence, l’autorité intimée a adopté, le 3 novembre 2010, un règlement sur le statut du personnel communal (ci-après : règlement communal ou statut), approuvé par le chef du Département de l’Intérieur en date du 7 décembre 2010. Elle a également adopté, le 30 juillet 2010, un règlement d’application du statut du personnel (ci-après : règlement d’application), qu’elle a modifié le 4 février 2011. Ces deux règlements sont entrés en vigueur le 1 er janvier 2011. Il y a donc lieu d’examiner le statut des agents communaux de l’autorité intimée.</w:t>
      </w:r>
    </w:p>
    <w:p>
      <w:r>
        <w:rPr>
          <w:b/>
        </w:rPr>
        <w:t>E. 2</w:t>
      </w:r>
    </w:p>
    <w:p>
      <w:r>
        <w:t>a) Selon la jurisprudence, les obligations des fonctionnaires communaux sont étendues et leurs droits sont relativement complexes; ils forment dans leur ensemble ce que l'on appelle le statut de la fonction publique communale. Un tel régime prend naissance par un acte de nomination, qui doit être qualifié de décision; cet acte intervient généralement à l'issue d'une procédure, comportant souvent une mise au concours. En outre, la nomination est qualifiée de décision soumise à acceptation de l'intéressé. Avant toute chose, la procédure de nomination implique que la commune ait adopté une réglementation sur le statut de la fonction publique communale fixant les conditions de la nomination du fonctionnaire, ses droits et ses obligations, ainsi que la procédure disciplinaire et les conditions de révocation de la décision de nomination (arrêt GE.2008.0172 précité, consid. 2b). b) S’agissant en l’occurrence de la réglementation applicable, e st fonctionnaire au sens du présent règlement toute personne nommée en cette qualité par la Municipalité pour exercer, à titre principal ou accessoire, une fonction ou un emploi permanent au service de la commune (cf. art. 1 er al. 2 du règlement communal). La nomination des fonctionnaires, à titre provisoire ou définitif, est du ressort de la Municipalité (art. 4 du règlement communal). Peuvent seules être nommées en qualité de fonctionnaire, les personnes majeures de nationalité suisse ou titulaires d’un permis d’établissement de type C, ayant l’exercice des droits civils, offrant toute garantie de moralité, possédant la formation qui correspond aux exigences de la fonction, avec un taux d’activité d’au moins 50% continuellement durant la période qui précède la nomination (art. 5 al. 1 du règlement communal). La Municipalité peut subordonner la nomination à d’autres conditions, notamment quant à l’état de santé, au domicile, aux aptitudes et à la formation. Elle peut aussi imposer un examen ou un stage (art. 5 al. 2 du règlement communal). Avant toute nomination, la Municipalité procède à un engagement par contrat de droit privé, conformément à l’art. 82 (art. 7 du règlement communal). La nomination en qualité de fonctionnaire intervient au plus tard quatre ans après le début de l’engagement, mais pour autant que toutes les conditions de l’art. 5 soient remplies (art. 8 du règlement communal). c) Le recourant ne conteste pas avoir été engagé par l’autorité intimée sur la base d’un contrat de droit privé et qu’il ne bénéficie pas de la qualité de fonctionnaire. Tous les membres du personnel de la municipalité sont effectivement d’abord engagés par contrat de droit privé (art. 82 al. 1 du règlement communal), la durée de l’engagement par contrat de droit privé ne devant pas excéder quatre ans pour les personnes qui remplissent les conditions pour être nommées au sens de l’art. 5 du règlement communal. Il ressort de cette disposition que l’engagement par contrat de droit privé peut subsister après la période de quatre ans si les conditions de l’art.</w:t>
      </w:r>
    </w:p>
    <w:p>
      <w:r>
        <w:rPr>
          <w:b/>
        </w:rPr>
        <w:t>E. 5</w:t>
      </w:r>
    </w:p>
    <w:p>
      <w:r>
        <w:t>du statut ne sont pas remplies. Le recourant soutient qu’il remplit toutes les conditions énoncées à l’art. 5 du règlement communal et que la municipalité serait ainsi tenue de le nommer dès lors que le délai de quatre depuis son engagement est écoulé. Il n’est pas contesté que le recourant remplit les conditions de l’art. 5 al. 1 du règlement communal et que le délai de quatre ans depuis son engagement par contrat de droit privé était écoulé au moment où la décision communale refusant la nomination a été prise. L’art. 5 al. 2 du statut prévoit toutefois que la municipalité peut subordonner la nomination à d’autres conditions, notamment quant à l’état de santé, au domicile, aux aptitudes et à la formation et elle peut aussi imposer un examen ou un stage. Les conditions mentionnées à l’alinéa 2 ne sont donc pas exhaustives et la municipalité peut fixer d’autres conditions. Il faut toutefois que ces conditions soient en rapport direct avec la nomination, c’est-à-dire qu’elles puissent justifier objectivement un refus de nomination si elles ne sont pas remplies. A cet égard, la municipalité a la tâche d’organiser les différents services de l’administration communale. L’art. 3 du statut prévoit que « La Municipalité organise les services de l’administration communale et crée les postes nécessaires à cet effet (al. 1er). Elle fixe notamment le nombre et la structure des services, leurs attributions, leur subordination, ainsi que l’horaire d’ouverture des bureaux au public (al. 2). La Municipalité peut modifier en tout temps l’organisation de l’administration et les attributions des fonctionnaires (al. 3)». Or, une nomination peut faire obstacle à un projet de réorganisation de l’administration communale ou entraver une restructuration d’un service. Il y a donc lieu de considérer que parmi les autres conditions de l’art. 5 al. 2 du règlement communal, les impératifs liés à l’organisation de l’administration communale peuvent justifier le refus d’une nomination, même si toutes les conditions de l’art. 5 al. 1 du statut sont remplies. d) En l’espèce, les motifs mentionnés par la municipalité pour justifier le refus de nomination sont les suivants : « Dans le cadre du processus de régionalisation des Services de Défense Incendie et de Secours (SDIS) de la Riviera et de leur intégration au sein de l’Association Sécurité Riviera, le maintien de votre poste de chargé de prévention et de Police du Feu au sein de la nouvelle organisation est incertain. Dans l’attente de connaître l’affectation définitive de votre fonction, la municipalité sursoit jusqu’à nouvel avis à votre nomination » Il ressort de l’instruction du recours, en particulier de l’audition du municipal C.________, que le refus de nommer M. X.________ était motivé par une incertitude quant à la conservation de son poste au sein du futur Service de la sécurité de la Riviera et par une incertitude quant au pourcentage de celui-ci s’il venait à être rattaché à ce nouveau service. M. C.________ a précisé que le processus de régionalisation des Services de défense incendie et secours de la Riviera a été initié il y a longtemps, mais que le projet a été relancé en mai 2012 et que les discussions se sont poursuivies jusqu’en décembre 2012. La municipalité a finalement validé, en janvier 2013, le processus de régionalisation. Le témoin a précisé que dans la future organisation régionale, un 30% du cahier des charges du recourant resterait affecté à la commune de Montreux pour la Police du feu et que le solde de 20 % passerait au Service « Sécurité Riviera ». Ces explications n’ont pas été contestées par le recourant. Il en ressort clairement que le processus de régionalisation des Services de défense incendie et de secours de la Riviera a été relancé au mois de mai 2012 et qu’il existait effectivement une incertitude quant à l’affectation prévue pour le recourant, laquelle a vraisemblablement été arrêtée lors de la décision de validation de janvier 2013. En outre, il apparaît que le processus de régionalisation précité était notoire depuis de nombreuses années, tout comme le fait qu’il n’était pas possible, en l’état des choses, pour les autorités communales de lever les incertitudes liées à celui-ci, de sorte que l’on ne saurait faire grief à l’autorité intimée d’avoir décidé de surseoir à la nomination du recourant. Partant, contrairement à ce que soutient le recourant, il n’en découle pas que son contrat de travail de droit privé devait être converti automatiquement en un acte de nomination. La jurisprudence exclut en effet que, lorsque la durée maximum fixée par le statut du personnel pour un engagement par contrat de droit privé est dépassée, l’on considère que l’échéance du délai équivaut à une nomination (arrêts GE.2012.0211 du 19 février 2013 ; GE.2006.0172 du 14 mai 2007 ; GE.1996.0112 du 5 septembre 1997 et GE.1994.0034 du 13 juillet 1994). 3. Le recourant qualifie la décision litigieuse de disproportionnée et d’arbitraire. L’autorité intimée conteste et fait valoir que le recourant dénie l’intérêt public que poursuit la décision du refus de nomination. a) Le principe de proportionnalité exige qu’une mesure restrictive soit apte à produire les résultats escomptés (règle de l’aptitude) et que ceux-ci ne puissent être atteints par une mesure moins incisive (règle de la nécessité); le principe de la proportionnalité proscrit toute restriction allant au-delà du but visé; il exige un rapport raisonnable entre ce but et les intérêts publics ou privés compromis (principe de la proportionnalité au sens étroit, impliquant une pesée des intérêts en présence; ATF 133 I 77 consid. 4.1 p. 81, 110 consid. 7.1 p. 123; 132 I 49 consid. 7.2 p. 62, 229 consid. 11.3 p. 246 et les arrêts cités). b) Le recourant estime que le but recherché par la municipalité pouvait être atteint même en procédant à la nomination, car les dispositions du statut permettent de toute manière d’opérer une réorganisation (art. 71 du statut). Il est vrai que le règlement communal prévoit la possibilité de supprimer une fonction à son art. 76, mais cette disposition charge l’autorité communale d’offrir au fonctionnaire concerné un autre poste dans le cadre de la procédure de transfert prévue par l’art. 10. A ce stade, il n’était toutefois pas certain que la commune avait à disposition du recourant le poste de 20%, lequel a finalement été transféré à l’association régionale. Aussi, le refus de nomination n’empêchait pas la poursuite des rapports de travail. La procédure de nomination pouvait donc être reprise dès que la décision sur la nouvelle organisation régionale était prise. Partant, la décision communale n’apparaît pas contraire au principe de proportionnalité. Elle résiste aussi au grief d’arbitraire soulevé par le recourant pour les motifs déjà exposés au consid. 2c et 2d puisqu’elle se fonde sur l’art. 5 al. 2 du règlement communal. 4. Les considérants qui précèdent conduisent au rejet du recours et au maintien de la décision attaquée. Suivant sa pratique en matière de contentieux de la fonction publique (v. notamment arrêts GE.2010.0227 du 1 er septembre 2011, consid. 4 ; GE.2006.0180 du 28 juin 2007, consid. 5), le Tribunal ne mettra pas d’émolument à la charge du recourant, bien que celui-ci succombe. L’autorité intimée, qui obtient gain de cause avec l’assistance d’un mandataire, a droit à des dépens (art. 55 al. 1 LPA-VD), dont le montant sera fixé à 1'000.-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