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GE.2012.0138 vom 28. Januar 2013</w:t>
      </w:r>
    </w:p>
    <w:p>
      <w:r>
        <w:t>VD Tribunal cantonal, 2013-01-28, FR</w:t>
      </w:r>
    </w:p>
    <w:p>
      <w:r>
        <w:rPr>
          <w:b/>
        </w:rPr>
        <w:t xml:space="preserve">Quelle: </w:t>
      </w:r>
      <w:r>
        <w:t>https://mcp.opencaselaw.ch/entscheid/vd_omni_GE.2012.0138</w:t>
      </w:r>
    </w:p>
    <w:p>
      <w:r>
        <w:t>FR: VD_OMNI GE.2012.0138 du 28 janvier 2013</w:t>
      </w:r>
    </w:p>
    <w:p>
      <w:r>
        <w:t>IT: VD_OMNI GE.2012.0138 del 28 gennaio 2013</w:t>
      </w:r>
    </w:p>
    <w:p>
      <w:pPr>
        <w:pStyle w:val="Heading2"/>
      </w:pPr>
      <w:r>
        <w:t>Regeste</w:t>
      </w:r>
    </w:p>
    <w:p>
      <w:r>
        <w:t>X.________ c/Département de l'intérieur | Recours contre une décision du Département de l'intérieur, refusant l'allocation d'une indemnité LAVI à un homme de trente ans, victime de plusieurs agressions. Si l'atteinte à l'intégrité physique ne justifie pas l'allocation d'une telle indemnité, tel n'est pas le cas de l'atteinte à l'intégrité psychique, attestée par certificats médicaux. Allocation d'une indemnité de 1'500 fr., après rappel d'exemples jurisprudentiels. Recours partiellement admis.</w:t>
      </w:r>
    </w:p>
    <w:p>
      <w:pPr>
        <w:pStyle w:val="Heading2"/>
      </w:pPr>
      <w:r>
        <w:t>Erwägungen</w:t>
      </w:r>
    </w:p>
    <w:p>
      <w:r>
        <w:rPr>
          <w:b/>
        </w:rPr>
        <w:t>E. 1</w:t>
      </w:r>
    </w:p>
    <w:p>
      <w:r>
        <w:t>Le Tribunal cantonal est compétent pour statuer sur le recours contre la décision attaquée en vertu de l'art. 16 al. 1 de la loi d'application de la loi fédérale du 23 mars 2007 sur l'aide aux victimes d'infractions (LVLAVI; RSV 312.41), qui est entrée en vigueur le 1 er mai 2009, et de l'art. 92 al. 1 de la loi du 28 octobre 2008 sur la procédure administrative (LPA-VD; RSV 173.36). La Cour de droit administratif et public du Tribunal cantonal connaît depuis le 1er janvier 2009 des causes relevant de l'application de la LAVI (arrêt GE.2009.0059 du 1 er septembre 2009, consid. 1 p. 4/5).</w:t>
      </w:r>
    </w:p>
    <w:p>
      <w:r>
        <w:rPr>
          <w:b/>
        </w:rPr>
        <w:t>E. 2</w:t>
      </w:r>
    </w:p>
    <w:p>
      <w:r>
        <w:t>Entrée en vigueur le 1 er janvier 2009, la LAVI a remplacé la loi fédérale du 4 octobre 1991 sur l'aide aux victimes d'infractions (aLAVI). Aux termes de l'art. 1 al. 1 LAVI, toute personne qui a subi, du fait d’une infraction, une atteinte directe à son intégrité physique, psychique ou sexuelle (victime) a droit au soutien prévu par la présente loi (aide aux victimes). L'aide aux victimes comprend notamment la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s’appliquent par analogie. Le montant de la réparation morale est fixé en fonction de la gravité de l’atteinte et ne peut excéder 70’000 francs, lorsque l’ayant droit est la victime (art. 23 al. 1 et 2 let. a LAVI). Les prestations que l’ayant droit a reçues de tiers à titre de réparation morale sont déduites (art. 23 al. 3 LAVI). L'art. 28 LAVI dispose qu'aucun intérêt n’est dû pour l’indemnité et la réparation morale.</w:t>
      </w:r>
    </w:p>
    <w:p>
      <w:r>
        <w:rPr>
          <w:b/>
        </w:rPr>
        <w:t>E. 3</w:t>
      </w:r>
    </w:p>
    <w:p>
      <w:r>
        <w:t>Dans son message relatif à la LAVI (FF 2005 p. 6742 et 6743),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a) Dans son guide relatif à la fixation du montant de la réparation morale à titre d’aide aux victimes d’infractions (disponible sur le site Internet à l'adresse suivante: http://www.bj.admin.ch/content/dam/data/gesellschaft/opferhilfe/leitf-genugtuung-ohg-f.pdf ),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 il ne sera en règle générale pas non plus possible de reprendre tel quel le montant de la réparation morale allouée, dans le cadre de la responsabilité civile, par le juge. Il ressort également des recommandations de la Conférence suisse des offices de liaison de la loi fédérale sur l‘aide aux victimes d’infractions (CSOL-LAVI) pour l'application de la LAVI, du 21 janvier 2010 (chiffre 4.7.2, p. 42, disponible sur le site http://www.sodk.ch) que l ’introduction d’un montant maximal de 70’000 francs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L'OFJ précise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On doit donc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notamment en cas d'infractions contre la réputation, telle la calomnie ou la diffamation, si les circonstances étaient suffisamment graves pour entraîner une atteinte directe à l'intégrité psychique du lésé et ainsi s'il doit se voir reconnaître la qualité de victime LAVI (ATF 1A.70/2004 du 7 juillet 2004 et réf. cit.). b)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Peter Gomm/Peter Stein/Dominik Zehntner, Kommentar zum Opferhilfegesetz, Berne 1995, n. 26 ad art. 12 aLAVI, 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Gomm/Stein/Zehntner, op. cit., n. 17 ss ad art. 12 aLAVI, 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v. Mizel, ibid.).</w:t>
      </w:r>
    </w:p>
    <w:p>
      <w:r>
        <w:rPr>
          <w:b/>
        </w:rPr>
        <w:t>E. 4</w:t>
      </w:r>
    </w:p>
    <w:p>
      <w:r>
        <w:t>a) L'autorité intimée reconnaît la qualité de victime au recourant. Elle considère toutefois que le recourant n'a pas établi à satisfaction de droit que les atteintes physiques et psychiques subies par celui-ci étaient suffisamment importantes pour fonder une réparation morale au sens de la LAVI. S'agissant de son hospitalisation en milieu psychiatrique, le rapport de causalité qu'il présentait avec les agressions subies n'était pas établi compte tenu du temps écoulé dans l'intervalle – près de 18 mois – et de la longue durée du séjour – près d'un mois. Le recourant considère pour sa part que ses séquelles physiques, notamment la large cicatrice qu'il présente, sont d'une gravité certaine, ce qui justifierait déjà pour ce motif l'allocation d'une indemnité à titre de réparation morale pour atteinte à son intégrité physique. Le recourant estime aussi avoir subi des atteintes psychiques importantes découlant directement des infractions pénales dont il a été victime justifiant aussi l'allocation d'une indemnité pour tort moral. Il fait grief à l'autorité intimée de ne pas avoir tenu compte du fait qu'il avait été agressé à plusieurs reprises, par une connaissance. Suite à ses agressions, le recourant a présenté un comportement très désorganisé, étant souvent fâché et perdu. Il a négligé son hygiène et ne s'est plus occupé de son appartement. Il a été suivi une fois par semaine par un praticien. Une assistante sociale a dû s'occuper de la gestion de son quotidien. Enfin, il a été hospitalisé en milieu psychiatrique, cette hospitalisation étant liée à la tenue des audiences de jugement de ses agresseurs. b) En l'occurrence, le recourant ne fait valoir aucune prétention au titre d'indemnisation d'un dommage matériel au sens de l'art. 19 LAVI. Il y a lieu d'examiner l'existence d'un éventuel tort moral, dont le fondement repose selon le recourant sur une atteinte à son intégrité physique et psychique. S'agissant de l'atteinte à l'intégrité physique, les agressions dont le recourant a été victime lui ont causé un saignement de nez, une plaie à l'oreille et à la joue gauches ainsi qu'une entaille au bras. Ces faits ont conduit à la condamnation de l'agresseur du recourant pour lésions corporelles simples. Le recourant n'a pas établi que ces lésions auraient nécessité son hospitalisation ou conduit à un arrêt de travail. Il n'a pas plus établi qu'elles auraient nécessité un suivi. Enfin, s'agissant de sa "large cicatrice", le recourant n'a produit aucun document photographique ou médical permettant de se faire une idée de son ampleur réelle, bien que dûment invité à le faire par l'autorité intimée. Il résulte de ce qui précède que si les agressions subies par le recourant ont eu des conséquences sur le plan physique, force est d'admettre que celles-ci peuvent être qualifiées de bénignes. Elle ne saurait partant justifier l'allocation d'une indemnité pour tort moral en raison de l'atteinte à l'intégrité physique, conformément aux principes rappelés au considérant 3 ci-dessus. En ce qui concerne l'atteinte à l'intégrité psychique résultant des agressions dont il a été victime, le recourant a produit trois rapports médicaux. Il en résulte en substance que le recourant souffrait déjà antérieurement d'un trouble schiziotypique qui l'avait dans un premier temps motivé à consulter. Les actes commis sur sa personne ont toutefois eu un effet délétère sur l'évolution de sa santé psychique, et cela de manière importante. En effet, après avoir fait l'objet d'agressions, le recourant a présenté des symptômes correspondant à ceux observables chez une personne ayant subi un grave traumatisme. Il a présenté un état confusionnel, un discours incohérent, une anxiété majeure et une agitation importante. Dans un deuxième temps, il a présenté un comportement très désorganisé. Il s'est également senti détruit et trahi dans sa confiance dès lors que son agresseur était une connaissance. Un suivi spécifique a été mis en place à partir de février 2010, afin de traiter plus précisément les conséquences des actes en question. L'évolution du recourant s'est encore aggravée à l'approche de l'audience de jugement de ses agresseurs. Une hospitalisation en psychiatrie a ainsi été nécessaire du 6 juillet au 2 août 2011. Il résulte de ces documents médicaux que le recourant, avant ses agressions, souffrait déjà d'un trouble qui l'ont conduit à consulter. Les actes dont il a été victime en juin, puis en décembre 2009 ont eu des conséquences directes sur son état de santé psychique. A dires des praticiens qui ont suivi le recourant, celui-ci a présenté des symptômes correspondant à ceux observables chez une personne ayant subi un grave traumatisme. Dans l'examen de l'atteinte à l'intégrité psychique du recourant découlant des agressions dont il a été victime, il sied de relever que les pièces au dossier ne permettent pas de déterminer, si tant est qu'il soit objectivement possible de le faire, dans quelle proportion l'état préexistant du recourant a influé sur l'état qu'il a présenté après avoir été victime de ses agressions. Ces documents n'en disent pas beaucoup plus sur la nature exacte du suivi du recourant, en termes de fréquence et de thérapie. Il n'en demeure pas moins que de l'avis de praticiens, ces agressions ont agi sur le comportement du recourant, qui s'est  sensiblement modifié. Un suivi particulier a dû être mis en place. Son hospitalisation en psychiatrie durant près d'un mois est survenue certes près de 20 mois après les derniers actes dont le recourant a été victime, mais clairement à l'approche des audiences de jugements de ses agresseurs, ce qui est un indice de l'existence d'une part d'un lien de causalité entre les agressions et dite hospitalisation et d'autre part d'un traumatisme de relativement longue durée. Dans ces conditions, il convient d'admettre que les faits dont a été victime le recourant ont porté atteinte à son intégrité psychique de manière importante, ce qui sur le principe justifie l'allocation d'une indemnité pour tort moral.</w:t>
      </w:r>
    </w:p>
    <w:p>
      <w:r>
        <w:rPr>
          <w:b/>
        </w:rPr>
        <w:t>E. 5</w:t>
      </w:r>
    </w:p>
    <w:p>
      <w:r>
        <w:t>Le recourant conclu à l'allocation d'une indemnité pour tort moral d'un montant de 15'000 fr., correspondant au total des sommes dont ses agresseurs se sont reconnus être ses débiteurs. a)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Bundesgesetz vom 23. März 2007 über die Hilfe an Opfer von Straftaten, Berne 2009, n. 5 ad art. 23 LAVI, p. 183 et les références citées). On retient généralement que plus la faute est grave, plus le tort moral est élevé; l'intention, le dol de l'auteur, l'acte égoïste, la brutalité, le manque de scrupules doivent sensiblement augmenter le tort moral, de même que l'illicéité de l'acte ( Klaus Hütte/Petra Ducksch/Kayum Guerrero, Die Genugtuung, 3 ème édition, Zurich/Bâle/ 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Franz Werro, Commentaire romand, Code des obligations I, Bâle 2003, n. 22 ad art. 47 CO, p. 340). A l'inverse, l'existence d'une faute de la part de la victime peut conduire à une réduction de l'indemnité pour tort moral.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(arrêts GE.2009.0161 du 18 janvier 2010 consid. 4a, ainsi que GE.2009.0054 du 14 juillet 2010; cf. également Werro, op. cit., n° 15 ad intro. art. 47-49 CO).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v. en outre, Mizel, op. cit., p. 98/99). La casuistique en matière d'indemnités LAVI pour tort moral allouées aux victimes de lésions corporelles a notamment admis: - l'allocation d'un montant de 20'000 fr. à la victime d’un brigandage qualifié, commis au moyen d’une masse, gravement blessée à la tête et ayant subi une dépréciation psychique significative (cf. Gomm/Zehntner, ad art. 23 LAVI n° 13, p. 192, réf. cit.); - un montant de 15'000 fr. a été alloué à une autre victime d’un brigandage qualifié, commis au moyen d’un couteau, entravée à vie dans ses mouvements et durablement atteinte psychiquement (ibid., p. 193, réf. cit.); - un chauffeur de taxi séquestré et victime d’extorsion, ceci sous la menace d’une arme de poing, s’est vu, en raison d’un stress post-traumatique durable, reconnaître une indemnité de 10'000 fr. (ibid.); -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 dans l’ATF 1A.294/2005 du 7 septembre 2006, la victime, âgée de 77 ans, s’est vue allouer un montant de 5'000 francs.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 pour des brigandages qualifiés, des indemnités allant de 4'000 à 5'000 fr. ont été servies par les autorités cantonales entre 1998 et 2000: ainsi,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VIII/26-29, nos 12c, 12d, 14 et 15d, réf. citées );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Gomm/Zehntner, op. cit., ad art. 23 LAVI n° 13, p. 196 ss, réf. citées);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(ibid.);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(ibid.);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(ibid.);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Aide aux victimes d'infractions et réparation du dommage, Genève 2009,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 Gomm/Zehntner, op. cit.); - la cour de céans a augmenté de 2'500 à 4'000 fr. l'indemnité versée dans le cas d’un gendarme mordu à l’annulaire droit lors d’une intervention, partiellement amputé (pulpe de l’annulaire droit) et définitivement handicapé par la persistance de douleurs au moment de l’appui et des troubles de la sensibilité (arrêt GE.2009.0113 du 22 février 2011); - plus récemment, la cour de céans a confirmé l'allocation d'une indemnité pour tort moral de 1'500 fr. en faveur d'une personne qui avait été agressée gratuitement à la machette et blessée à la main droite, alors que l'agresseur ne visait rien de moins que sa tête. La victime avait subi une plaie de la face palmo-cubitale du poignet droit avec section complète du nerf et de l'artère cubitale, des fléchisseurs superficiels et profonds de l'annulaire et de l'auriculaire, du petit palmaire, ainsi qu'une fracture transversale du pisiforme. Si elle n'avait été hospitalisée qu'un jour, la victime avait dû subir une longue réadaptation, notamment 36 séances d'ergothérapie. Au titre de seule atteinte durable, voire permanente, elle demeurait incapable de tenir quelque chose avec son annulaire et son auriculaire de la main droite (arrêt GE.2012.132 du 24 octobre 2012). b) En l'occurrence, comme déjà dit, le principe de l'allocation d'une indemnité pour tort moral en faveur du recourant est justifiée exclusivement par l'atteinte à son intégrité psychique. D'un point de vue objectif, si sa vie n'a jamais été mise en danger, il a fait l'objet de violences de la part d'agresseurs animés de viles intentions. D'un point de vue subjectif, il n'est pas contesté qu'il a subi des séquelles psychologiques, même si celles-ci ont peut-être pu être augmentée par son état préexistant aux agressions. Eu égard aux précédents énumérés sous lettre a) ci-dessus, force est d'admettre que la situation du recourant, qui réclame 15'000 fr., est fort éloignée de celles qui ont conduit à l'allocation d'indemnités pour tort moral ne serait-ce que de 10'000 francs. En réalité, son cas s'apparente plutôt et sous plusieurs aspects à celui énuméré sous lettre a) ci-dessus et qui avait conduit à l'indemnisation de la victime agressée par trois jeunes, qui s'était évanouie après avoir reçu un coup sur la nuque, qui s’était fait voler son sac à mains, avait souffert de douleurs au genou pendant plusieurs mois, de troubles du sommeil et psychosomatiques, d’anxiété, d’hypervigilance, d’une altération des activités sociales et d’un vécu traumatique et avait suivi une psychothérapie, et pour laquelle une indemnité pour tort moral de 1'500 fr. avait été allouée. C'est partant une telle indemnité qui, en équité, doit être octroyée en l'espèce au recourant.</w:t>
      </w:r>
    </w:p>
    <w:p>
      <w:r>
        <w:rPr>
          <w:b/>
        </w:rPr>
        <w:t>E. 6</w:t>
      </w:r>
    </w:p>
    <w:p>
      <w:r>
        <w:t>Il résulte des considérants qui précèdent que le recours doit être partiellement admis et la décision entreprise réformée, en ce sens qu'une indemnité pour tort moral de 1'500 fr. est allouée au recourant. Le présent jugement est rendu sans frais (art. 30 al. 1 LAVI). Obtenant partiellement gain de cause, le recourant a droit à des dépens réduits (art. 55 et 91 LPA-VD).</w:t>
      </w:r>
    </w:p>
    <w:p>
      <w:r>
        <w:rPr>
          <w:b/>
        </w:rPr>
        <w:t>E. 7</w:t>
      </w:r>
    </w:p>
    <w:p>
      <w:r>
        <w:t>Compte tenu de ses ressources, le recourant a été mis au bénéfice de l'assistance judiciaire par décision du 28 août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Coralie Germond peut être arrêtée, compte tenu de la liste des opérations et des débours produite, à un montant total de 1'677 fr. 25 TVA et débours compris, correspondant à 1530 fr. d'honoraires, 23 fr. de débours et 124 fr. 25 de TVA.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