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GE.2012.0125 vom 13. Dezember 2012</w:t>
      </w:r>
    </w:p>
    <w:p>
      <w:r>
        <w:t>VD Tribunal cantonal, 2012-12-13, FR</w:t>
      </w:r>
    </w:p>
    <w:p>
      <w:r>
        <w:rPr>
          <w:b/>
        </w:rPr>
        <w:t xml:space="preserve">Quelle: </w:t>
      </w:r>
      <w:r>
        <w:t>https://mcp.opencaselaw.ch/entscheid/vd_omni_GE.2012.0125</w:t>
      </w:r>
    </w:p>
    <w:p>
      <w:r>
        <w:t>FR: VD_OMNI GE.2012.0125 du 13 décembre 2012</w:t>
      </w:r>
    </w:p>
    <w:p>
      <w:r>
        <w:t>IT: VD_OMNI GE.2012.0125 del 13 dicembre 2012</w:t>
      </w:r>
    </w:p>
    <w:p>
      <w:pPr>
        <w:pStyle w:val="Heading2"/>
      </w:pPr>
      <w:r>
        <w:t>Regeste</w:t>
      </w:r>
    </w:p>
    <w:p>
      <w:r>
        <w:t>X.________ c/Département de la formation, de la jeunesse et de la culture | C'est à juste titre que le DFJC a déclaré irrecevable un recours déposé contre une décision d'orientation. Les motifs invoqués par la recourante ne sont en effet pas constitutifs d'un empêchement non fautif au sens de l'art. 22 LPA-VD.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Par la décision attaquée, le DFJC a déclaré irrecevable le recours administratif déposé le 27 juin 2012 par l'intéressée pour cause de non-paiement de l'avance de frais requise dans le délai imparti. a) En procédure de recours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Un délai peut être restitué lorsque la partie ou son mandataire établit qu'il a été empêché, sans faute de sa part, d'agir dans le délai fixé (art. 22 al. 1 LPA-VD). Par empêchement non fautif, il faut entendre non seulement l'impossibilité objective, comme la force majeure, mais aussi l'impossibilité subjective due à des circonstances personnelles ou à une erreur excusable. Lorsque le soin d'effectuer l'avance de frais est confié à un auxiliaire, le comportement de celui-ci doit être imputé au recourant lui-même, ou à son mandataire si l'auxiliaire agit à la demande de ce dernier. Une restitution de délai n'entre dès lors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(ATF 2P.264/2003 du 29 octobre 2003, consid. 2.1 cité dans MPU.2011.0023 du 24 janvier 2012), b) En l'espèce, la recourante explique qu'elle aurait contacté, à une date non précisée, le DFJC pour l'informer qu'elle était au bénéfice du revenu d'insertion (RI) et qu'on lui aurait demandé une attestation du Service social communal. Ces allégations ne sont confirmées par aucune pièce au dossier. Quoi qu'il en soit, force est de constater que la recourante n'a pas produit d'attestation RI dans le délai d'avance de frais. Elle fait certes valoir que "l'erreur" proviendrait du Centre social intercommunal, qui n'aurait pas fait le nécessaire, contrairement à ce qu'il avait promis. Ce manquement doit toutefois lui être imputé, conformément à la jurisprudence rappelée ci-dessus. Vu les enjeux, la recourante aurait dû s'assurer que l'attestation RI avait bien été envoyée dans le délai imparti et que tout était en ordre. Au regard de ces éléments, c'est à juste titre que le DFJC n'est pas entré en matière sur le recours du 27 juin 2012.</w:t>
      </w:r>
    </w:p>
    <w:p>
      <w:r>
        <w:rPr>
          <w:b/>
        </w:rPr>
        <w:t>E. 3</w:t>
      </w:r>
    </w:p>
    <w:p>
      <w:r>
        <w:t>Les motifs qui précèdent conduisent au rejet du recours et à la confirmation de la décision attaquée. L'arrêt est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