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GE.2012.0052 vom 1. Februar 2013</w:t>
      </w:r>
    </w:p>
    <w:p>
      <w:r>
        <w:t>VD Tribunal cantonal, 2013-02-01, FR</w:t>
      </w:r>
    </w:p>
    <w:p>
      <w:r>
        <w:rPr>
          <w:b/>
        </w:rPr>
        <w:t xml:space="preserve">Quelle: </w:t>
      </w:r>
      <w:r>
        <w:t>https://mcp.opencaselaw.ch/entscheid/vd_omni_GE.2012.0052</w:t>
      </w:r>
    </w:p>
    <w:p>
      <w:r>
        <w:t>FR: VD_OMNI GE.2012.0052 du 1 février 2013</w:t>
      </w:r>
    </w:p>
    <w:p>
      <w:r>
        <w:t>IT: VD_OMNI GE.2012.0052 del 1 febbraio 2013</w:t>
      </w:r>
    </w:p>
    <w:p>
      <w:pPr>
        <w:pStyle w:val="Heading2"/>
      </w:pPr>
      <w:r>
        <w:t>Regeste</w:t>
      </w:r>
    </w:p>
    <w:p>
      <w:r>
        <w:t>X.________ c/Département de l'intérieur | Fille âgée de huit ans qui a subi pendant plus de deux ans une vingtaine d'actes de violence infligés par son père, consistant en des fessées, des claques et des torsions du bras, et qui a été enfermée avec sa mère par celui-ci pendant une semaine dans le galetas de la maison familiale, privées d'eau courante et devant faire leurs besoins dans un seau. Le père, condamné à une année de privation de liberté dont six mois fermes, pour, entre autres, les faits précités, a été reconnu débiteur de sa fille de 4'000 fr. à titre d'indemnité pour tort moral. Le recours contre la décision du Service juridique et législatif d'allouer à la fille une indemnité de 1'000 fr. à titre de réparation morale doit être partiellement admis. En effet, au vu de la durée pendant laquelle l'intéressée a subi des violences, de la gravité des actes, des violences psychologiques, de son âge, de son lien de dépendance et de la faute de l'auteur (que les autorités pénales ont décrite comme "grave et inadmissible", assimilant l'auteur à un "tyran domestique", et peinant à trouver des éléments à sa décharge), il apparaît que l'indemnité de 1'000 fr. est insuffisante. La décision doit dès lors être modifiée sur ce point en ce sens que, du point de vue de l'équité, c'est une indemnité pour tort moral de 2'000 fr. qui doit être allouée à l'intéressée.</w:t>
      </w:r>
    </w:p>
    <w:p>
      <w:pPr>
        <w:pStyle w:val="Heading2"/>
      </w:pPr>
      <w:r>
        <w:t>Erwägungen</w:t>
      </w:r>
    </w:p>
    <w:p>
      <w:r>
        <w:rPr>
          <w:b/>
        </w:rPr>
        <w:t>E. 1</w:t>
      </w:r>
    </w:p>
    <w:p>
      <w:r>
        <w:t>La loi fédérale du 23 mars 2007 sur l'aide aux victimes d'infractions (LAVI, RS 312.5) est entrée en vigueur le 1 er janvier 2009. En vertu de l'art. 48 LAVI, le droit d'obtenir une indemnité pour des faits qui se sont déroulés avant l'entrée en vigueur de la loi sont régis par l'ancien droit (let. a). Il en va de même des demandes de contribution aux frais qui sont pendantes à l'entrée en vigueur de la nouvelle loi (let. c). La présente cause doit par conséquent être examinée sous l'angle de la loi fédérale du 4 octobre 1991 sur l'aide aux victimes d'infractions (aLAVI; RO 1992 2465 et les modifications ultérieures).</w:t>
      </w:r>
    </w:p>
    <w:p>
      <w:r>
        <w:rPr>
          <w:b/>
        </w:rPr>
        <w:t>E. 2</w:t>
      </w:r>
    </w:p>
    <w:p>
      <w:r>
        <w:t>a) L'art. 1 al. 2 aLAVI prévoit que l'aide fournie aux victimes d'infractions comprend des conseils (let. a), la protection de la victime et la défense de ses droits dans la procédure pénale (let. b) et l'indemnisation et la réparation morale (let. c). Aux termes de l'art. 2 al. 1 aLAVI, bénéficie d'une aide selon la LAVI toute personne qui a subi, du fait d'une infraction, une atteinte directe à son intégrité corporelle, sexuelle ou psychique (victime), que l'auteur ait été découvert ou non ou que le comportement de celui-ci soit ou non fautif. Toute victime d'une infraction commise en Suisse peut demander une indemnisation ou une réparation morale dans le canton dans lequel l'infraction a été commise (art. 11 al. 1, 1 ère phrase aLAVI). La réparation morale est due indépendamment du revenu de la victime, lorsque celle-ci a subi une atteinte grave et que des circonstances particulières justifient cette réparation (art. 12 al. 2 aLAVI). b) La recourante conteste en l'espèce le montant de l'indemnité lui ayant été alloué par l'autorité intimée à titre de réparation du tort moral, fixé à 1'000 francs. La qualité de victime de la recourante, de même que le principe de l'indemnisation ne sont pour leur part pas contestés. c) La Cour de droit administratif et public du Tribunal cantonal a rappelé l'état de droit et de la jurisprudence dans un récent arrêt du 7 septembre 2011 (GE.2011.0107 consid. 3), lequel reprenait les considérants développés dans un précédent arrêt du 17 février 2010 (GE.2009.0206 consid. 4b). Il convient de citer le passage suivant (comprenant également les lettres aa, bb et cc ci-dessous): 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p. 36; 125 III 269 consid. 2a p. 273; 118 II 410 consid. 2a p. 413 et les arrêts cités).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Selon la jurisprudence,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(ATF 129 II 312 consid. 2 p. 314 ss, notamment consid. 2.8 p. 317). aa)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 ATF 132 II 117 consid. 2.2.4 p. 121; 1C_182/2007 du 28 novembre 2007 consid. 4 ; 1A.228/2004 du 3 août 2005 consid. 10.2; ATF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Stéphanie Converset, Aide aux victimes d’infractions et réparation du dommage, Genève/Zurich/Bâle 2009, p. 262 ). Le refus d’une réparation peut aussi se justifier par des considérations d’équité. Le large pouvoir d'appréciation reconnu à l'autorité d'indemnisation n'a comme principales limites que le respect de l'égalité de traitement et l'interdiction de l'arbitraire (ATF 129 II 312 consid.</w:t>
      </w:r>
    </w:p>
    <w:p>
      <w:r>
        <w:rPr>
          <w:b/>
        </w:rPr>
        <w:t>E. 2.3</w:t>
      </w:r>
    </w:p>
    <w:p>
      <w:r>
        <w:t>p. 315; ATF 128 II 49 consid. 4.3 p. 55; ATF 125 II 169 consid. 2b/bb p. 174; Converset, op. cit., p. 261; Peter Gomm/Peter Stein/Dominik Zehntner, Kommentar zum Opferhilfegesetz, Berne 1995, n. 26 ad art. 12 aLAVI,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(FF 1990 II 924; ATF 124 II 8 consid. 3d/bb p. 14/15).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l’IPAI), ce n'est pas seulement le critère objectivement mesurable (p. ex. une invalidité médico-théorique) qui est décisif; il s’agit d’évaluer le préjudice immatériel subi (Peter Gomm/Dominik Zehntner, Opferhilfegesetz, Berne 2009, ad art. 23 LAVI n° 5,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(Klaus Hütte/Petra Ducksch/Kayum Guerrero, Die Genugtuung, 3 ème édition, Zurich/Bâle/Genève 2005,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(v. Cédric Mizel, La qualité de victime LAVI et la mesure actuelle des droits qui en découlent, in JT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v. également Franz Werro, in Commentaire romand, Code des obligations I, Bâle 2003, n° 22 ad art. 47 CO, p. 340). cc)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Gomm/Zehntner, op. cit., n° 5 ad art. 23 LAVI, p. 183; Converset, op. cit., p. 280 ). d) En l'espèce, il ressort du dossier que la recourante, née en 1996, a été victime durant plus de deux ans (entre 2005 et 2007) d'une vingtaine d'actes de violences infligés par son père, Y.________, consistant en des fessées, des claques et des torsions du bras, et qu'en 2007, elle a été enfermée avec sa mère par celui-ci pendant une semaine dans le galetas de la maison familiale, privées d'eau courante et devant faire leurs besoins dans un seau. Y.________ a également régulièrement menacé la recourante de brûler la villa familiale et a affirmé à plusieurs reprises qu‘il allait tuer la mère de celle-ci, Z.________. Au vu de la longue période pendant laquelle la recourante a subi les actes de violence physique et de violence psychique (sous la forme de menaces et de chantage émotionnel notamment) de la part de son père, soit une personne dont elle était dépendante, de son jeune âge (huit ans) au moment des faits et, enfin et surtout, au vu de l'"épisode du galetas", le montant de 1'000 fr. alloué à titre d'indemnité pour tort moral par l'autorité intimée apparaît insuffisant. Celle-ci explique ce montant par le fait qu'en octobre 2011, lorsqu'elle instruisait la demande de la recourante, Z.________ lui a indiqué que sa fille se portait désormais "très bien" et qu'elle n'était plus suivie par un psychologue, et qu'il convenait d'en déduire qu'elle ne souffrait pas de séquelles psychologiques. Or, premièrement, il ressort du dossier que la recourante a été très affectée par les brutalités de son père. Ainsi, on lit dans le rapport établi le 7 septembre 2010 par le SPJ qu'elle demeurait "traumatisée" par son placement d'urgence dans une famille d'accueil (qui avait eu lieu du 20 février 2009 au 6 mars 2009 et avait été initié par son père, qui avait dénoncé à tort son épouse au motif qu'elle ne s'occupait pas de la recourante et de son frère), que si elle restait en contact avec son père, elle vivait néanmoins un "terrible conflit de loyauté", qu'elle craignait son discours et ses agissements, et qu'elle était habitée par un "grand sentiment d'insécurité et de culpabilité" du fait du chantage qu'il continuait d'exercer vis-à-vis d'elle. En second lieu, on constate qu'il est également relevé dans le rapport du SPJ que la recourante consultait (lors de l'enquête du SPJ, soit en septembre 2010) la psychologue scolaire. Il est donc établi que la recourante a dû consulter une psychologue. Ainsi, quand bien même elle ne consultait plus de psychologue en octobre 2011, cet élément, dès lors qu'elle a consulté un psychologue - à tout le moins jusqu'en septembre 2010 - et que les derniers faits datent de 2009, n'est pas déterminant. En effet, si la situation de la recourante s’est vraisemblablement améliorée et que, ne vivant plus avec son père, elle n’a plus besoin d’un suivi psychologique, on ne saurait déduire de ce fait qu’elle n’a subi qu’une relative atteinte. Ainsi, au vu de la durée pendant laquelle la recourante a subi des violences, de la gravité des actes, des violences psychologiques, de l'âge de la recourante, de son lien de dépendance et de la faute de l'auteur (que les autorités pénales ont décrite comme "grave et inadmissible", assimilant l'auteur à une "tyran domestique", et peinant à trouver des éléments à sa décharge), il apparaît que l'indemnité de 1'000 fr. allouée à titre de réparation morale est insuffisante. La décision attaquée doit dès lors être modifiée sur ce point en ce sens que, du point de vue de l'équité, c'est une indemnité pour tort moral de 2'000 fr. qui doit être allouée à l'intéressée.</w:t>
      </w:r>
    </w:p>
    <w:p>
      <w:r>
        <w:rPr>
          <w:b/>
        </w:rPr>
        <w:t>E. 3</w:t>
      </w:r>
    </w:p>
    <w:p>
      <w:r>
        <w:t>Le recours doit dès lors être partiellement admis. Conformément à l'art. 16 al. 1 aLAVI, la procédure est gratuite. Représentée par un mandataire professionnel, la recourante a droit à des dépens réduits (art. 55 et 56 al. 2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