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GE.2012.0043 vom 18. Juni 2012</w:t>
      </w:r>
    </w:p>
    <w:p>
      <w:r>
        <w:t>VD Tribunal cantonal, 2012-06-18, FR</w:t>
      </w:r>
    </w:p>
    <w:p>
      <w:r>
        <w:rPr>
          <w:b/>
        </w:rPr>
        <w:t xml:space="preserve">Quelle: </w:t>
      </w:r>
      <w:r>
        <w:t>https://mcp.opencaselaw.ch/entscheid/vd_omni_GE.2012.0043</w:t>
      </w:r>
    </w:p>
    <w:p>
      <w:r>
        <w:t>FR: VD_OMNI GE.2012.0043 du 18 juin 2012</w:t>
      </w:r>
    </w:p>
    <w:p>
      <w:r>
        <w:t>IT: VD_OMNI GE.2012.0043 del 18 giugno 2012</w:t>
      </w:r>
    </w:p>
    <w:p>
      <w:pPr>
        <w:pStyle w:val="Heading2"/>
      </w:pPr>
      <w:r>
        <w:t>Regeste</w:t>
      </w:r>
    </w:p>
    <w:p>
      <w:r>
        <w:t>X.________ Sàrl, Y.________ c/Direction générale de l'enseignement postobligatoire | Recours contre un retrait de l'autorisation de former les apprentis. La constatation des faits à laquelle a procédé l'autorité intimée apparaît insuffisante dès lors qu'elle s'est contentée de reprendre les faits reprochés aux recourantes par leurs anciennes apprenties, faits relayés sans vérification tant par les certificats médicaux que par la CFP. En vertu du devoir d'instruction qui est le sien, l'autorité intimée ne pouvait pas retenir ces faits sans vérifier s'ils étaient fondés. Il n'appartient pas au tribunal de reconstituer, comme s'il était l'instance précédente, l'état de fait qu'aurait dû comporter la décision attaquée. Admission du recours et renvoi du dossier de la cause à l'autorité intimée afin qu'elle en complète l'instruction, puis rende une nouvelle décision.</w:t>
      </w:r>
    </w:p>
    <w:p>
      <w:pPr>
        <w:pStyle w:val="Heading2"/>
      </w:pPr>
      <w:r>
        <w:t>Erwägungen</w:t>
      </w:r>
    </w:p>
    <w:p>
      <w:r>
        <w:rPr>
          <w:b/>
        </w:rPr>
        <w:t>E. 1</w:t>
      </w:r>
    </w:p>
    <w:p>
      <w:r>
        <w:t>a) Selon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au sens de l'art. 75 al. 1 let. a LPA-VD implique que le recourant soit touché dans une mesure et avec une intensité plus grandes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L'existence d'un intérêt digne de protection présuppose ainsi que la situation de fait ou de droit du recourant puisse être influencée par le sort de la cause. En l’espèce, tant X.________ que Y.________ ont un intérêt digne de protection – ne serait-ce que de fait pour cette dernière – à voir la décision attaquée annulée. b) La procuration individuelle de X.________ en faveur de G.________, inscrite au registre du commerce s’est éteinte le 14 mars 2012. Le recours du 19 mars 2012 a cependant été ratifié par la procuration produite le 21 mai 2012 et est ainsi recevable (art. 16 LPA-VD).</w:t>
      </w:r>
    </w:p>
    <w:p>
      <w:r>
        <w:rPr>
          <w:b/>
        </w:rPr>
        <w:t>E. 2</w:t>
      </w:r>
    </w:p>
    <w:p>
      <w:r>
        <w:t>Les recourantes ont requis la tenue d’une audience et l’audition de témoins. Dès lors que, selon le dispositif, le recours doit être admis et le dossier de la cause doit être retourné à l'autorité intimée afin qu'elle en complète l'instruction, puis rende une nouvelle décision, il n’est pas nécessaire de donner suite à la requête des recourantes.</w:t>
      </w:r>
    </w:p>
    <w:p>
      <w:r>
        <w:rPr>
          <w:b/>
        </w:rPr>
        <w:t>E. 3</w:t>
      </w:r>
    </w:p>
    <w:p>
      <w:r>
        <w:t>Selon l’art. 101 LVLFPr , l es décisions prises en application de ladite loi, à l'exception des décisions du chef du département, peuvent faire l'objet d'un recours auprès de celui-ci dans les 10 jours dès leur notification. En l’occurrence, la décision a été prise par la DGEP, mais sur délégation du département (cf. arrêt GE.2007.0082 du 21 décembre 2007, analysant en détail cette délégation de compétence et sa légalité, relatif à l’ancienne loi vaudoise sur la formation professionnelle du 19 septembre 1990, mais également applicable en l’espèce, le contenu des dispositions étant semblable). La décision attaquée doit donc être assimilée à une décision du chef du département et est à ce titre directement attaquable devant la cour de céans.</w:t>
      </w:r>
    </w:p>
    <w:p>
      <w:r>
        <w:rPr>
          <w:b/>
        </w:rPr>
        <w:t>E. 4</w:t>
      </w:r>
    </w:p>
    <w:p>
      <w:r>
        <w:t>a) Sur le fond du litige, la matière est régie par la loi fédérale sur la formation professionnelle du 13 décembre 2002 (LFPr; RS 412.10), ainsi que par l’ordonnance d’exécution de cette loi, à savoir l’OFPr. La formation professionnelle initiale vise à transmettre et à faire acquérir les compétences, les connaissances et le savoir-faire indispensables à l'exercice d'une activité dans une profession, un champ professionnel ou un champ d'activité (art. 15 al. 1 LFPr). Elle permet notamment à la personne en formation d'acquérir (al. 2): les qualifications spécifiques qui lui permettront d'exercer une activité professionnelle avec compétence et en toute sécurité (let. a); la culture générale de base qui lui permettra d'accéder au monde du travail et d'y rester ainsi que s'intégrer dans la société (let. b); les connaissances et les compétences économiques, écologiques, sociales et culturelles qui lui permettront de contribuer au développement durable (let. c); l'aptitude et la disponibilité à apprendre tout au long de sa vie, d'exercer son sens critique et de prendre des décisions (let. d). Les prestataires de la formation à la pratique professionnelle font en sorte que les personnes en formation acquièrent un maximum de compétences, qu'ils évaluent périodiquement (art. 20 al. 1 LFPr). Ils doivent avoir obtenu l’autorisation du canton pour former des apprentis (art. 20 al. 2 LFPr). Les cantons veillent à assurer la surveillance de la formation professionnelle initiale (art. 24 al. 1 LFPr). Font partie de la surveillance notamment l'encadrement, l'accompagnement des parties aux contrats d'apprentissage, la qualité de la formation à la pratique professionnelle (art. 24 al. 2 et 3 LFPr). L'autorité cantonale refuse de délivrer une autorisation de former ou une fois délivrée, la retire si la formation à la pratique professionnelle est insuffisante, si les formateurs ne remplissent pas ou plus les exigences légales ou s’ils contreviennent à leurs obligations (art. 11 al. 1 OFPr). b) Dans le Canton de Vaud, la formation professionnelle est régie par la loi vaudoise sur la formation professionnelle du 9 juin 2009 ( LVLFPr; RSV 413.01 ) et, dès le 1 er août 2010, par le règlement d'application du 30 juin 2010 de la loi du 9 juin 2009 sur la formation professionnelle (RLVLFPr; RSV 413.01.1). Selon l'art. 16 al. 1 LVLFPr, l’autorisation de former est octroyée à l’entreprise ou au réseau qui en fait la requête auprès du département si: a. le formateur désigné remplit les conditions de la législation fédérale; b. les conditions de formation sont adéquates, en particulier, elles respectent la législation sur le travail; c. l'ordonnance fédérale sur la formation professionnelle concernée est respectée. En particulier, l’activité professionnelle de l’entreprise ou du réseau couvre tous les domaines de la formation.</w:t>
      </w:r>
    </w:p>
    <w:p>
      <w:r>
        <w:rPr>
          <w:b/>
        </w:rPr>
        <w:t>E. 5</w:t>
      </w:r>
    </w:p>
    <w:p>
      <w:r>
        <w:t>A son chapitre II consacré aux règles générales de procédure, la LPA-VD régit le contenu des décisions administratives en prévoyant notamment ce qui suit : Art. 42 - Contenu La décision contient les indications suivantes : a.  le nom de l'autorité qui a statué et sa composition s'il s'agit d'une autorité collégiale;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Pour rendre une décision conforme à l'art. 42 LPA-VD, l'autorité intimée doit établir clairement les faits en procédant d'office ( principe inquisitoire , cf. art. 28 LPA-VD). Il revient ainsi à l'autorité de définir les faits pertinents et de ne tenir pour existants que ceux qui sont dûment prouvés (cf. Pierre Moor/Etienne Poltier, Droit administratif, vol. II, 3e éd., Berne 2011, p. 292 s.). La LVLFPr ne prévoit pas d’autres règles en matière d’établissement des faits. En l’occurrence, la constatation des faits à laquelle a procédé l'autorité intimée apparaît insuffisante dès lors qu’elle s’est contentée de reprendre les faits reprochés aux recourantes par leurs anciennes apprenties (A.________ et C.________), faits relayés sans vérification tant par les certificats médicaux (dont on précise qu’ils peuvent uniquement attester de l’état de santé de l’apprenti mais aucunement avoir force probante par rapport aux évènement survenus dans l’entreprise) que par la CFP. En vertu du devoir d’instruction qui est le sien, l’autorité intimée ne pouvait pas retenir ces faits sans vérifier s’ils étaient fondés. La décision n'est donc pas conforme à l'art. 42 LPA-VD ni à l’art. 28 al. 1 LPA-VD. Or il n'appartient pas au tribunal de reconstituer, comme s'il était l'instance précédente, l'état de fait ou la motivation qu'aurait dû comporter la décision attaquée (cf. arrêt PE.2010.0453 du 20 avril 2011 consid. 4c/cc et la référence). Il se justifie dans ces conditions d’admettre le recours et de renvoyer le dossier de la cause à l'autorité intimée afin qu'elle en complète l'instruction, puis rende une nouvelle décision. Il conviendra que l’autorité instruise notamment sur les éléments reprochés à Y.________ par les anciennes apprenties. Cette instruction devra se faire en demandant d’abord à ces dernières de préciser leurs reproches, qui sont en l’état pour le moins vagues, puis en permettant à Y.________ de se déterminer au sujet d’éléments précis – éventuellement par le biais d’une confrontation avec les anciennes apprenties – et en entendant des témoins (par exemple, d’autres apprenti(e)s ou anciens apprenti(e)s). Il faut souligner à cet égard que la seule indication d’une personne ayant pris contact avec des membres de l’entreprise des recourantes est celle qui émane du commissaire professionnel responsable des apprentis informaticiens, lequel relate qu’il n’y a pas de problème avec les apprentis informaticiens, l’un d’entre eux déclarant d’ailleurs n’avoir aucun problème relationnel avec Y.________ et ne pas être au courant de soucis de l’apprenti de commerce. Il est étonnant que ce rapport positif ne soit en aucune manière discuté; il renforce l’impression que l’instruction a été menée uniquement à charge des recourantes.</w:t>
      </w:r>
    </w:p>
    <w:p>
      <w:r>
        <w:rPr>
          <w:b/>
        </w:rPr>
        <w:t>E. 6</w:t>
      </w:r>
    </w:p>
    <w:p>
      <w:r>
        <w:t>Les considérants qui précèdent conduisent à l'admission de recours et à l'annulation de la décision attaquée. Vu le sort du litige, l'arrêt sera rendu sans frais. Par ailleurs, les recourantes, qui obtiennent gain de cause par l'intermédiaire d'un mandataire professionnel, ont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