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GE.2012.0028 vom 26. Juli 2012</w:t>
      </w:r>
    </w:p>
    <w:p>
      <w:r>
        <w:t>VD Tribunal cantonal, 2012-07-26, FR</w:t>
      </w:r>
    </w:p>
    <w:p>
      <w:r>
        <w:rPr>
          <w:b/>
        </w:rPr>
        <w:t xml:space="preserve">Quelle: </w:t>
      </w:r>
      <w:r>
        <w:t>https://mcp.opencaselaw.ch/entscheid/vd_omni_GE.2012.0028</w:t>
      </w:r>
    </w:p>
    <w:p>
      <w:r>
        <w:t>FR: VD_OMNI GE.2012.0028 du 26 juillet 2012</w:t>
      </w:r>
    </w:p>
    <w:p>
      <w:r>
        <w:t>IT: VD_OMNI GE.2012.0028 del 26 luglio 2012</w:t>
      </w:r>
    </w:p>
    <w:p>
      <w:pPr>
        <w:pStyle w:val="Heading2"/>
      </w:pPr>
      <w:r>
        <w:t>Regeste</w:t>
      </w:r>
    </w:p>
    <w:p>
      <w:r>
        <w:t>X.________ c/POLICE CANTONALE | Rejet du recours contre le séquestre préventif de plusieurs armes ainsi que l'annulation des permis d'acquisition correspondants. La mesure est justifiée dès lors que le recourant entretient actuellement un conflit de travail avec son supérieur hiérarchique, qu'il a proféré des menaces verbales à son endroit et que les armes qu'il possède ont déjà fait l'objet d'un premier séquestre préventif quelques années auparavant. Le risque que présente le recourant imposait une exécution du séquestre sans avertissement préalable de l'obligé quand bien même quelques mois se sont écoulés entre les menaces proférées et la décision querellée.</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Le recourant a sollicité la tenue d'une audience et l'audition de son dénonciateur ainsi que de son représentant syndical. Ce dernier l'aurait accompagné à deux reprises sur son lieu de travail et pourrait témoigner de l'absence de menaces proférées à l'endroit de son supérieur hiérarchique.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Dans le cas d'espèce, on peine à discerner l'avantage que pourrait retirer le recourant de l'audition de son dénonciateur ou d'un représentant syndical. Les craintes exprimées par le premier ne portent en effet pas sur des menaces proférées en présence de tiers. La présente procédure ne concerne par ailleurs que la question du séquestre préventif d'armes et non les conflits de travail que le recourant connaît actuellement. Le tribunal s'estime suffisamment renseigné par les éléments au dossier, de sorte qu'il n'est pas nécessaire, au vu des considérants qui suivent, d'entendre les témoins requis.</w:t>
      </w:r>
    </w:p>
    <w:p>
      <w:r>
        <w:rPr>
          <w:b/>
        </w:rPr>
        <w:t>E. 3</w:t>
      </w:r>
    </w:p>
    <w:p>
      <w:r>
        <w:t>a) La loi fédérale du 20 juin 1997 sur les armes, les accessoires d'armes et les munitions (LArm; RS 514.54) a été adoptée sur la base du mandat de l'art. 107 al. 1 Cst. Elle a pour but de lutter contre l'usage abusif d'armes, respectivement de protéger l'ordre public et la sécurité des personnes et des biens par un contrôle accru de l'achat et du port d'armes individuelles (message du Conseil fédéral in FF 1996 I p. 1001 ss; Aubert/Mahon, Commentaire de la Constitution fédérale de la Confédération suisse, 2003, n. 5 ad art. 107 Cst). b) L'art. 3 de la loi vaudoise du 5 septembre 2000 sur les armes, les accessoires d'armes, les munitions et les substances explosibles (LVLArm; RSV 502.11) prévoit que le Département de la sécurité et de l'environnement est chargé de l'application du droit fédéral en matière d'armes, d'accessoires d'armes, de munitions et de substances explosibles (al. 1) et qu'il exerce ses tâches par l'intermédiaire de la police cantonale (al. 2). L'art. 4 LVLArm dispose pour sa part que la police cantonale est, sauf disposition contraire de la loi, l'autorité compétente au sens de la législation fédérale sur les armes, les accessoires d'armes et les munitions (al. 1); elle est notamment compétente pour ordonner la mise sous séquestre et statuer sur la procédure à suivre après la mise sous séquestre au sens de l'art. 31 LArm (al. 2 let. g). c) L'art. 8 LArm, dans sa nouvelle teneur selon l'art. 3 ch. 6 de l'arrêté fédéral du 17 décembre 2004 portant approbation et mise en œuvre des accords bilatéraux d'association à l'Espace Schengen et à l'Espace Dublin, en vigueur depuis le 12 décembre 2008; énonce ce qui suit : " Art. 8 Obligation d'être titulaire d'un permis d'acquisition d'armes 1   Toute personne qui acquiert une arme ou un élément essentiel d'arme doit être titulaire d’un permis d’acquisition d’armes. 1bis Toute personne qui demande un permis d’acquisition pour une arme à feu dans un but autre que le sport, la chasse ou une collection doit motiver sa demande. 2 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Il résulte de ce qui précède que, sous l'empire du nouveau droit entré en vigueur le 12 décembre 2008, les acquisitions d'armes auprès de particuliers sont désormais soumises à l'obligation d'être titulaire d'un permis d'acquisition d'armes, contrairement à l'ancien droit (cf. art. 9 aLArm).</w:t>
      </w:r>
    </w:p>
    <w:p>
      <w:r>
        <w:rPr>
          <w:b/>
        </w:rPr>
        <w:t>E. 4</w:t>
      </w:r>
    </w:p>
    <w:p>
      <w:r>
        <w:t>a) L'art. 8 al. 2 let. c LArm a un rôle préventif, de sorte que l’administration peut se baser sur une vraisemblance et non sur une preuve stricte pour retenir que l’hypothèse envisagée à cet article est réalisée (Hans Wüst, Schweizer Waffenrecht, 1999, p. 77 et 192; Philippe Weissenberger, die Strafbestimmungen des Waffengesetzes, in AJP/PJA 2000 p. 153, spéc. p. 163; arrêt du Conseil d’Etat d’Argovie du 3 septembre 2003 in ZBl 2/2005 p. 107). Il appartient à l’autorité d’établir qu’il existe un soupçon que le détenteur d’une arme peut utiliser celle-ci d’une manière dangereuse pour lui-même ou pour autrui. b) Conformément à l’art. 31 al. 1 let. b LArm, l’autorité compétente met sous séquestre les armes, les éléments essentiels d’armes, les composants d'armes spécialement conçus, les accessoires d’armes, les munitions et les éléments de munitions trouvés en possession de personnes qui peuvent se voir opposer un des motifs d’exclusion mentionnés à l’art. 8 al. 2 LArm. Les objets mis sous séquestre sont définitivement confisqués en cas de risque d’utilisation abusive (al. 3). Le Conseil fédéral règle la procédure à suivre dans les cas où une restitution s’avère impossible (al. 5, cf. l'ordonnance du 2 juillet 2008 sur les armes, les accessoires d'armes et les munitions [OArm; RS 514.541] ). c) Selon la jurisprudence, le risque d'utilisation abusive d'une arme se confond avec celui d'une utilisation dangereuse pour soi-même ou pour autrui (arrêts rendus en matière de séquestres préventifs GE.2010.0226 du 28 mars 2011; ou de séquestres définitifs GE.2008.0056 du 23 avril 2010, GE.2008.0148 du 21 novembre 2008 consid. 1b; GE.2006.0007 du 22 septembre 2006 consid. 1a; GE.2005.0133 du 20 décembre 2005 consid. 2; arrêt du Tribunal fédéral 2A.546/2004 du 4 février 2005 consid. 3.2.2).</w:t>
      </w:r>
    </w:p>
    <w:p>
      <w:r>
        <w:rPr>
          <w:b/>
        </w:rPr>
        <w:t>E. 5</w:t>
      </w:r>
    </w:p>
    <w:p>
      <w:r>
        <w:t>En ce qui concerne le cas d'espèce, on rappellera tout d’abord que la décision attaquée constitue, comme le précise la police cantonale dans sa réponse du 20 mars 2012, un séquestre préventif et qu’une procédure de suivi du séquestre au sens des art. 31 al. 5 LArm et 54 OArm sera introduite dans l'hypothèse où cette décision serait définitivement validée. L'objet du présent litige ne porte donc que sur le contrôle de la légalité du séquestre préventif ordonné par la décision du 14 février 2012.</w:t>
      </w:r>
    </w:p>
    <w:p>
      <w:r>
        <w:rPr>
          <w:b/>
        </w:rPr>
        <w:t>E. 6</w:t>
      </w:r>
    </w:p>
    <w:p>
      <w:r>
        <w:t>Le recourant conteste la procédure suivie, en particulier l'absence de toute sommation préalable au séquestre. a) L’exécution des décisions non pécuniaires est réglée par l’art. 61 LPA-VD, lequel a la teneur suivante : "Art. 61 Décisions non pécuniaires 1. Pour exécuter les décisions non pécuniaires, l’autorité peut procéder: a. à l’exécution directe contre la personne de l’obligé ou de ses biens; b. à l’exécution par un tiers mandaté, aux frais de l’obligé. 2. L’autorité peut au besoin recourir à l’aide de la police cantonale ou communale. 3. Avant de recourir à un moyen de contrainte, l’autorité en menace l’obligé et lui impartit un délai approprié pour s’exécuter. Elle attire son attention sur les sanctions qu’il peut encourir. 4. S’il y a péril en la demeure, l’autorité peut procéder à l’exécution sans en avertir préalablement l’obligé. 5. Les frais mis à la charge de l’obligé sont fixés par décision de l’autorité". b) Comme l'a d'ailleurs reconnue l'autorité intimée, seule une atteinte imminente et grave à un bien d'ordre public est susceptible de justifier une exécution du séquestre sans avertissement préalable de l'obligé. En l'occurrence, le séquestre des armes du recourant a été exécuté sur la base d'une plainte pour menaces déposée en février 2012, alors que la menace alléguée aurait été proférée fin mai ou début juin 2011. Il ressort toutefois de la dénonciation que l'auteur de celle-ci a également indiqué que suite à ces menaces, les tensions auraient augmenté et qu'il craignait que la situation ne dégénère prochainement. L'autorité intimée était ainsi fondée à retenir une imminence de la menace (art. 61 al. 4 LPA-VD), compte tenu notamment des antécédents du recourant et du fait qu'il était possible que ce dernier ait entreposé une ou plusieurs armes à son lieu de travail. Ce dernier avait en effet déclaré en 2004 vouloir déposer une de ses armes dans un coffre-fort se trouvant sur son lieu de travail et en avait informé son employeur (rapport de la gendarmerie de 2******** le 5 octobre 2004). Ce grief doit en conséquence être rejeté.</w:t>
      </w:r>
    </w:p>
    <w:p>
      <w:r>
        <w:rPr>
          <w:b/>
        </w:rPr>
        <w:t>E. 7</w:t>
      </w:r>
    </w:p>
    <w:p>
      <w:r>
        <w:t>Quant au fond, le recourant conteste avoir proféré des menaces contre son supérieur hiérarchique. Il aurait au contraire expressément déclaré à ce dernier qu'il ne devait pas s'inquiéter pour sa sécurité personnelle et qu'il ne lui ferait jamais de mal. Comme l'a relevé l'autorité intimée, lorsqu'une personne est signalée comme étant dangereuse du point de vue de la détention d'armes, de plus avec un caractère d'urgence, l'autorité est contrainte à mettre en oeuvre sans délai un séquestre, conformément à l'art. 31 LArm. Une simple vraisemblance suffit (cf. considérant 4 ci-dessus). En l'occurrence, s'agissant des antécédents du recourant, il ressort des différents éléments du dossier que le recourant présente depuis plusieurs années un intérêt particulièrement marqué pour tout ce qui touche au domaine de l'armement. Cet attrait s'est notamment exprimé au travers de l'acquisition de plusieurs armes pour son usage personnel. Le recourant a déjà fait l'objet d'un séquestre de ses armes, ainsi que d'une condamnation pénale pour induction de la justice en erreur et infraction de la loi fédérale sur le matériel de guerre (jugement du 15 septembre 2009). Ce jugement révèle que le recourant présente des traits de personnalité paranoïaque et narcissique. Quant aux faits qui lui étaient reprochés dans cette procédure antérieure, le recourant n'a pas hésité à mettre en scène une fusillade à son encontre afin de convaincre les autorités du bien-fondé des menaces auxquelles il se disait exposé. Quant à sa situation professionnelle, il n'est pas contesté que le recourant connaît, depuis courant 2011, voire déjà avant, des difficultés d'ordre relationnel avec son supérieur hiérarchique. Ce conflit est notamment attesté par le procès-verbal de la séance de conciliation du 5 octobre 2011, que le recourant a produit dans la présente procédure et dont il ressort que le recourant peut présenter une certaine agressivité. Il n'est pas non plus contesté que le recourant connaît actuellement des problèmes de santé, l'empêchant de travailler. Compte tenu de ces antécédents et de ce contexte professionnel conflictuel, rien ne permet de mettre en doute la réalité des menaces dénoncées par le supérieur hiérarchique du recourant. Au demeurant, ce dernier n'a pas dénoncé immédiatement les menaces dont il avait fait l'objet, mais a attendu quelques mois avant de le faire. Sa dénonciation laisse entendre que la situation se serait dégradée, de sorte qu'il pouvait légitimement craindre que les menaces faites par le recourant, qui détient plusieurs armes, pourraient prochainement être mises à exécution. C'est d'ailleurs au vu de ce contexte que l'on peut comprendre comme une tentative de corriger ses propos antérieurs, les assurances que le recourant a pu donner à son supérieur, à l'occasion de la séance de conciliation du 5 octobre 2011, lorsqu'il a indiqué que ce dernier ne devait pas s'inquiéter pour sa sécurité personnelle et qu'il (le recourant) ne lui ferait jamais mal. Quoi qu'il en soit, de telles assurances ne suffisent manifestement pas à écarter tout risque d'utilisation dangereuse d'une arme, au vu du contexte précité. Quant à la nature des menaces, on ne saurait sous-estimer la portée des déclarations tenues à l'endroit de son supérieur hiérarchique par le recourant. Dès lors qu'il est détenteur de plusieurs armes et a déjà présenté un caractère agressif dans ses relations de travail, des propos consistant en une déclaration de " guerre " et de volonté de se battre " jusqu'au sang " devaient être pris avec le plus grand sérieux. Au vu de ce qui précède, l'autorité intimée était fondée à admettre un risque d'utilisation par le recourant de l'une ou l'autre de ses armes d'une manière dangereuse pour lui-même ou pour autrui (art. 8 al. 2 let. c LArm), justifiant ainsi un séquestre préventif conformément à l'art. 31 LArm. La décision de l'autorité intimée de prononcer la mise sous séquestre préventive ainsi que l'annulation des permis d'acquisition d'armes du recourant doit dès lors être confirmée.</w:t>
      </w:r>
    </w:p>
    <w:p>
      <w:r>
        <w:rPr>
          <w:b/>
        </w:rPr>
        <w:t>E. 8</w:t>
      </w:r>
    </w:p>
    <w:p>
      <w:r>
        <w:t>Il résulte des considérants qui précèdent que le recours doit être rejeté et la décision querellée confirmée. Succombant, le recourant supporte les frais de justice, lesquels doivent être arrêtés à 1'000 fr. Il n'est pas alloué de dépens (art. 49,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