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GE.2011.0197 vom 6. Juni 2012</w:t>
      </w:r>
    </w:p>
    <w:p>
      <w:r>
        <w:t>VD Tribunal cantonal, 2012-06-06, FR</w:t>
      </w:r>
    </w:p>
    <w:p>
      <w:r>
        <w:rPr>
          <w:b/>
        </w:rPr>
        <w:t xml:space="preserve">Quelle: </w:t>
      </w:r>
      <w:r>
        <w:t>https://mcp.opencaselaw.ch/entscheid/vd_omni_GE.2011.0197</w:t>
      </w:r>
    </w:p>
    <w:p>
      <w:r>
        <w:t>FR: VD_OMNI GE.2011.0197 du 6 juin 2012</w:t>
      </w:r>
    </w:p>
    <w:p>
      <w:r>
        <w:t>IT: VD_OMNI GE.2011.0197 del 6 giugno 2012</w:t>
      </w:r>
    </w:p>
    <w:p>
      <w:pPr>
        <w:pStyle w:val="Heading2"/>
      </w:pPr>
      <w:r>
        <w:t>Regeste</w:t>
      </w:r>
    </w:p>
    <w:p>
      <w:r>
        <w:t>X.________ /Département de la sécurité et de l'environnement, Service de la consommation et des affaires vétérinaires | Caractère disproportionné de la décision d'euthanasier un chien ayant mordu au visage une fillette. Si la violence de l'attaque et les blessures infligées n'ont pas à être minimisées, des doutes subsistent néanmoins quant aux circonstances exactes dans lesquelles s'est déroulée l'agression: il est ainsi impossible de déterminer si l'enfant - qui était assise à côté du chien attaché à une barrière et qui avait été encouragée par son propriétaire à le gratter derrière les oreilles - touchait l'animal lorsqu'elle a été mordue. Il n'est dès lors pas exclu que le chien, privé de toute possibilité de se soustraire aux contacts de la fillette, ait progressivement pu être irrité, sans que l'enfant ne détecte d'éventuels signaux avertisseurs. Davantage que le caractère du chien, c'est bien plus le comportement négligent du propriétaire qui est à blâmer, cela d'autant plus qu'il ressort de l'expertise comportementale de l'animal que celui-ci ne présente pas d'agressivité et qu'il a une bonne inhibition à la morsure. Admission du recours en ce sens que le chien est restitué à son propriétaire aux conditions suivantes: l'animal sera sorti sur le domaine public muselé et en laisse; il ne sera pas laissé en présence de tiers sans muselière; il sera soumis à un suivi comportemental par un spécialiste.</w:t>
      </w:r>
    </w:p>
    <w:p>
      <w:pPr>
        <w:pStyle w:val="Heading2"/>
      </w:pPr>
      <w:r>
        <w:t>Erwägungen</w:t>
      </w:r>
    </w:p>
    <w:p>
      <w:r>
        <w:rPr>
          <w:b/>
        </w:rPr>
        <w:t>E. 1</w:t>
      </w:r>
    </w:p>
    <w:p>
      <w:r>
        <w:t>Le service prend des mesures graduées en fonction de l'ampleur des dispositions agressives, telles que: a. faire suivre une thérapie comportementale au chien; b. interdire la détention d'un chien particulier; c. prononcer une interdiction temporaire ou définitive de détenir un chien; d. ordonner une stérilisation ou une castration; e. ordonner l'euthanasie d'un chien ou d'une portée, sous réserve de l'article 120 du code rural et foncier. (… )" c) Dans son exposé des motifs et projet de loi sur la police des chiens (Bulletin du Grand Conseil [BGC], août-septembre 2006 p. 2802 ss), le Conseil d'Etat relevait qu'il s'agissait de répondre au sentiment d'insécurité du public vis-à-vis de la population canine et plus particulièrement vis-à-vis des détenteurs de chiens qui, volontairement ou non, par leur manque de connaissances, leur insouciance, voire leur inconscience, ne maîtrisaient pas leurs chiens et mettaient ainsi en danger, parfois de manière sérieuse, la santé (physique et/ou psychique) des personnes qu'ils rencontraient; d'autres chiens ou d'autres animaux pouvaient également être la cible de chiens non maîtrisés dont le comportement pouvait aller jusqu'à entraîner la mort (p. 2802). S'agissant de l'art. 3 al. 2 LPolC, le projet de loi indiquait ce qui suit (p. 2824): "La définition de l'agressivité d'un chien est difficile. Celle proposée a fait l'objet de longues réflexions et a fini par s'imposer. Ainsi, l'atteinte à l'intégrité physique d'une personne ou d'un autre animal est le premier des deux critères permettant de désigner un chien agressif. Ce premier critère, une fois adopté, ne permet toutefois pas, à lui seul, de décider des mesures qui seront prises. Les circonstances de l'accident, le résultat de l'expertise du chien ainsi que d'autres facteurs seront pris en compte pour établir la dangerosité exacte du chien et pour définir les mesures les plus adéquates permettant d'éviter une récidive. Le deuxième des critères, valant dans tous les cas où l'intégrité physique n'a pas été atteinte ou dans les cas où il n'y a que suspicion, est celui de l'expertise concluant que le chien présente ou non un risque élevé d'agression." d) On relèvera enfin que l'euthanasie représente la plus sévère des mesures mentionnées à l'art. 28 LPolC (arrêt GE.2010.0085 du 15 février 2011 et la réf. aux travaux préparatoires de la LPolC précités, p. 2828 où elle est qualifiée de " mesure la plus radicale pour le chien "; cf également l'ATF 2P.52/2007 du 5 juillet 2007 consid. 5.3 où elle est désignée par les termes de " mesure ultime ").</w:t>
      </w:r>
    </w:p>
    <w:p>
      <w:r>
        <w:rPr>
          <w:b/>
        </w:rPr>
        <w:t>E. 2</w:t>
      </w:r>
    </w:p>
    <w:p>
      <w:r>
        <w:t>Dans l'exercice de ses compétences, le SCAV doit, comme toute autorité administrative, respecter le principe de la proportionnalité. Ce dernier comporte traditionnellement trois aspects: tout d'abord, la mesure restrictive doit être apte à produire les résultats escomptés (règle de l’aptitude). Ces derniers ne doivent ensuite pas pouvoir être atteints par une mesure moins incisive (règle de la nécessité); le principe de la proportionnalité proscrit enfin toute restriction allant au-delà du but visé et exige un rapport raisonnable entre celui-ci et les intérêts publics ou privés compromis (principe de la proportionnalité au sens étroit, impliquant une pesée des intérêts en présence (ATF 136 IV 97 consid. 5.2.2 p. 104; 135 I 176 consid. 8.1 p. 186).</w:t>
      </w:r>
    </w:p>
    <w:p>
      <w:r>
        <w:rPr>
          <w:b/>
        </w:rPr>
        <w:t>E. 3</w:t>
      </w:r>
    </w:p>
    <w:p>
      <w:r>
        <w:t>a) Il convient tout d'abord de rappeler que l'autorité intimée a écarté les deux précédents incidents ayant impliqué "Y.________" mis en exergue par le Vétérinaire cantonal (l'un datant de 2001 au détriment de l'épouse du recourant, l'autre, remontant à quelques années, qui aurait impliqué la grand-mère de la fillette blessée) (cf décision attaquée, ch. 24). Ainsi, seule l'agression survenue le 24 avril 2011 doit être retenue à l'actif du chien du recourant. Nonobstant ce qui précède, l'autorité intimée a confirmé la décision d'euthanasie sur la base de l'art. 28 al. 1 let. e LPolC, mesure reposant selon elle sur le fait que le chien a blessé durablement un être humain, sans motif et sans signe perceptibles (cf. décision attaquée, ch. 24). Le recourant invoque pour sa part une violation des principes de la légalité, de la proportionnalité et de l'égalité de traitement et se prévaut en outre de la garantie de la propriété et de la liberté personnelle. b) En l'occurrence, la morsure infligée par "Y.________" lors de l'épisode du 24 avril 2011 a causé d'importantes blessures à une fillette et doit sans conteste être qualifiée de grave. Sans vouloir minimiser la violence de cette attaque et les incidences physiques et psychiques qu'il en est résulté sur la petite victime, que l'on ne peut que déplorer, il convient toutefois d'admettre que certains doutes subsistent quant aux circonstances exactes dans lesquelles cette agression s'est déroulée. Il n'a en effet pas été possible de déterminer si l'enfant manipulait le chien lorsqu'elle a été attaquée. La vétérinaire comportementaliste relevait à cet égard dans son rapport d'évaluation que " Il est pas clair si A.________ touchait ou pas Y.________ ". S'agissant du déroulement de l'accident, la spécialiste laissait précisément ouverte la question de savoir s'il était question d'une agression d'irritation, à supposer que l'enfant touchait la tête du chien, ou en revanche d'une agression hiérarchisante. Il convient dans ce contexte de garder à l'esprit que la fillette, qui avait pris place à côté du chien, avait été encouragée par le recourant à gratter l'animal derrière les oreilles. Il n'est dès lors pas exclu que le chien, peut-être fatigué au retour d'une balade de deux heures et privé de toute possibilité de se soustraire aux contacts de l'enfant, car attaché à une barrière, ait progressivement été irrité par ces manipulations jusqu'au dénouement que l'on connaît. L'on ne peut ainsi affirmer que l'attaque n'a pas été précédée de signaux d'avertissement. Ces derniers ont en effet pu ne pas être décelés par la fillette, ou pas suffisamment tôt. L'agression du 24 avril 2011 n'est ainsi pas celle d'un chien qui aurait attaqué une personne après avoir spontanément cherché le contact avec elle ou en la poursuivant. Il convient par ailleurs de relever que la gravité des blessures infligées n'est pertinente que si elle est révélatrice d'un comportement agressif du chien; un animal peut en effet provoquer malencontreusement un accident mortel sans que l'on puisse en déduire automatiquement qu'il est dangereux (GE.2010.0085 précité consid. 4b). Il ressort enfin du rapport d'expertise complémentaire du 30 mai 2012 que "Y.________" a une bonne inhibition à la morsure et qu'il ne présente pas de troubles comportementaux en lien avec une absence de contrôle de la morsure. Davantage que le caractère du chien, c'est bien plus le comportement du recourant qui est à blâmer. Ce dernier n'a manifestement pas fait preuve de la prudence et de la vigilance requises, en laissant l'enfant à côté de ses chiens et en l'encourageant à manipuler "Y.________" alors même qu'il était attaché et privé de toute possibilité de fuir. A cela s'ajoute que dans son rapport d'évaluation, la vétérinaire comportementaliste du SCAV a indiqué que rien dans l'attitude du chien n'avait permis de suspecter une quelconque agressivité, précisant qu'il s'agissait d'un chien très sûr de lui dans ses approches et qu'il invitait même au jeu les personnes présentes autour de lui. S'il ne constitue certes pas le seul élément à prendre en compte, le préavis émanant de cette spécialiste, qui a été en contact direct avec l'animal, revêt cependant un poids important quant à l'appréciation du comportement du chien et à son éventuelle dangerosité; son expertise n'a en ce sens révélé chez "Y.________" aucun comportement hargneux, impulsif ou imprévisible, pas plus qu'une attitude incorrigible ou un défaut de sociabilisation. L'intéressée n'a du reste aucunement préconisé l'euthanasie au terme de ses investigations. Or, c'est en fonction des dispositions agressives des chiens en cause que les tribunaux se prononcent sur la question de leur euthanasie (GE.2010.0085 précité consid. 4a). Le cas d'espèce se distingue en ce sens d'une précédente affaire sur laquelle s'est penchée la cour de céans et qui impliquait un chien qui avait récidivé, qui avait fait preuve d'une agressivité certaine et répétée et qui présentait un manque d'inhibition à la morsure (GE. 2009.0224 du 16 décembre 2010 ). Si l'euthanasie ordonnée atteint, il est vrai, le but recherché tendant à empêcher la survenance ou la réitérations d'agressions, elle apparaît toutefois comme particulièrement sévère dès lors que d'autres mesures permettent d'atteindre le même but en portant une atteinte moindre aux intérêts du recourant. c) L'art. 28 al. 1 LPolC énumère une série de mesures à prendre en fonction de l'ampleur des dispositions agressives du chien. Il s'agit là d'une liste non exhaustive (" telles que "), qui permet la mise en œuvre d'autres mesures de sécurité. Conscient du risque que représente son chien, le recourant formule dans ses conclusions subsidiaires diverses mesures, soit la sortie du chien sur le domaine public en laisse et muselé, le fait de ne pas laisser le chien en présence de tiers sans muselière et le suivi comportemental de l'animal par un spécialiste. Ces mesures, moins incisives que l'euthanasie, s'inscrivent selon le tribunal de céans dans un rapport adéquat et raisonnable avec les buts invoqués de sécurité publique et de protection de la population et permettront d'éviter un nouvel incident, tout en ménageant l'intérêt privé du recourant à pouvoir détenir son chien. Elles rejoignent du reste celles préconisées par la vétérinaire comportementaliste du SCAV au pied de son rapport d'évaluation. L'autorité intimée s'interroge à cet égard sur l'intérêt à voir évoluer le chien avec les mesures préconisées et leurs éventuels effets sur le caractère de l'animal. Il convient toutefois de constater que l'art. 16 LPolC prévoit expressément le port de la muselière et la tenue en laisse pour le détenteur qui n'apparaît pas en mesure de maîtriser son animal à tout instant. Ces précautions font en outre partie du catalogue des mesures énumérées à l'art. 26 LPolC. Enfin, le port de la muselière peut être imposé à certaines catégories de chiens dans certains espaces délimités (lieux publics très fréquentés) pour des mesures de protection (voir en ce sens ATF 133 I 249 consid. 4.1 p. 255; 133 I 145 consid. 4.2 p. 147). Il s'ensuit que le sort de "Y.________" ne différerait ainsi pas de celui de nombreux autres chiens pour lesquels le port de la muselière et la tenue en laisse ont été préconisés. Quant à la dernière des mesures préventives proposées consistant dans le suivi comportemental du chien auprès d'un spécialiste, celle-ci permettra effectivement à ses maîtres de mieux identifier chez le chien d'éventuels signaux avertisseurs pour les protéger de toute attaque. Les mesures susmentionnées devront être rigoureusement et constamment observées par le recourant; il suffirait en effet d'une seule négligence, inattention ou oubli de la part du recourant pour risquer de graves incidents aux lourdes conséquences, tels que celui survenu le 24 avril 2011. On rappellera ici que plus un chien est dangereux, plus le sens des responsabilités de son propriétaire est sollicité et plus il doit faire preuve de diligence (arrêt précité GE.2007.0164 consid. 4b). L'attention du recourant est dans ce contexte attirée sur le fait que tout manquement constaté à ces mesures, qu'il soit suivi ou non de conséquences, pourra conduire l'autorité compétente à entamer une nouvelle procédure et à prononcer, le cas échéant, l'euthanasie de "Y.________". La mesure d'euthanasie ordonnée par le Vétérinaire cantonal et confirmée par l'autorité intimée apparaissant comme disproportionnée, le recours doit être admis, sans qu'il soit besoin d'examiner plus avant les autres griefs soulevés par le recourant.</w:t>
      </w:r>
    </w:p>
    <w:p>
      <w:r>
        <w:rPr>
          <w:b/>
        </w:rPr>
        <w:t>E. 4</w:t>
      </w:r>
    </w:p>
    <w:p>
      <w:r>
        <w:t>Les considérants qui précèdent conduisent à l'admission du recours et à l'annulation des décisions de l'autorité intimée et du Vétérinaire cantonal, le chien "Y.________" étant restitué au recourant aux conditions énumérées ci-dessus. L es frais de justice sont laissés à la charge de l'Etat (art. 49 al. 1 de la loi du 28 octobre 2008 sur la procédure administrative [LPA-VD; RSV 173.36]). Agissant par l'intermédiaire d'un mandataire professionnel, le recourant a en outre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