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GE.2011.0120 vom 10. November 2011</w:t>
      </w:r>
    </w:p>
    <w:p>
      <w:r>
        <w:t>VD Tribunal cantonal, 2011-11-10, FR</w:t>
      </w:r>
    </w:p>
    <w:p>
      <w:r>
        <w:rPr>
          <w:b/>
        </w:rPr>
        <w:t xml:space="preserve">Quelle: </w:t>
      </w:r>
      <w:r>
        <w:t>https://mcp.opencaselaw.ch/entscheid/vd_omni_GE.2011.0120</w:t>
      </w:r>
    </w:p>
    <w:p>
      <w:r>
        <w:t>FR: VD_OMNI GE.2011.0120 du 10 novembre 2011</w:t>
      </w:r>
    </w:p>
    <w:p>
      <w:r>
        <w:t>IT: VD_OMNI GE.2011.0120 del 10 novembre 2011</w:t>
      </w:r>
    </w:p>
    <w:p>
      <w:pPr>
        <w:pStyle w:val="Heading2"/>
      </w:pPr>
      <w:r>
        <w:t>Regeste</w:t>
      </w:r>
    </w:p>
    <w:p>
      <w:r>
        <w:t>X.________, Y.________ c/Office de l'état civil de Lausanne, Direction de l'état civil | Confirmation de l'arrêt GE.2011.0082 selon lequel l'art. 98a al. 4 CC est incompatible avec le droit au mariage ancré notamment à l'art. 12 CEDH.</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 l'intérieur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En l'espèce, la décision attaquée ayant été prise avec le concours de l'autorité cantonale de surveillance, c'est à juste titre que les recourants l'ont déférée au tribunal de céans. Le recours est ainsi recevable à la forme.</w:t>
      </w:r>
    </w:p>
    <w:p>
      <w:r>
        <w:rPr>
          <w:b/>
        </w:rPr>
        <w:t>E. 2</w:t>
      </w:r>
    </w:p>
    <w:p>
      <w:r>
        <w:t>L'autorité intimée a déclaré irrecevable la demande des recourants tendant à l'ouverture d'une procédure préparatoire de mariage, au motif que le recourant n'a pas fourni de titre de séjour légal en Suisse. 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Le tribunal n’a aucune raison de se départir de la solution retenue dans l’arrêt du 30 septembre 2011, étant précisé que la procédure de coordination rassemblait tous les juges de la Cour de droit administratif et public du Tribunal cantonal. Il convient dès lors de s’y référer intégralement.</w:t>
      </w:r>
    </w:p>
    <w:p>
      <w:r>
        <w:rPr>
          <w:b/>
        </w:rPr>
        <w:t>E. 3</w:t>
      </w:r>
    </w:p>
    <w:p>
      <w:r>
        <w:t>Le recours est ainsi admis. La décision attaquée est annulée et la cause renvoyée à l'autorité intimée pour qu'elle ouvre la procédure préparatoire de mariage et vérifie si les autres conditions du mariage sont remplies, notamment sous l'angle de l'art. 97a CC. On relèvera encore que la procédure de mariage est une procédure qui est totalement indépendante de la procédure fondée sur la loi fédérale du 16 décembre 2005 sur les étrangers (LEtr; RS 142.20). Dans cette mesure, les délits commis par le recourant, s'ils peuvent avoir une incidence sur la procédure d'autorisation de séjour menée sur la base de la LEtr, ne sont pas déterminants sous l'angle de la procédure de mariage, celui-ci n'étant pas réservé aux personnes ayant une conduite irréprochable sur le plan pénal (sur le droit des détenus de se marier, cf. ATF 117 Ia 465 consid. 2b p. 467; arrêt GE.2011.0082 précité, consid. 4).</w:t>
      </w:r>
    </w:p>
    <w:p>
      <w:r>
        <w:rPr>
          <w:b/>
        </w:rPr>
        <w:t>E. 4</w:t>
      </w:r>
    </w:p>
    <w:p>
      <w:r>
        <w:t>Il est statué sans frais; les recourants, assistés d'un mandataire, ont droit à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