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GE.2011.0107 vom 7. September 2011</w:t>
      </w:r>
    </w:p>
    <w:p>
      <w:r>
        <w:t>VD Tribunal cantonal, 2011-09-07, FR</w:t>
      </w:r>
    </w:p>
    <w:p>
      <w:r>
        <w:rPr>
          <w:b/>
        </w:rPr>
        <w:t xml:space="preserve">Quelle: </w:t>
      </w:r>
      <w:r>
        <w:t>https://mcp.opencaselaw.ch/entscheid/vd_omni_GE.2011.0107</w:t>
      </w:r>
    </w:p>
    <w:p>
      <w:r>
        <w:t>FR: VD_OMNI GE.2011.0107 du 7 septembre 2011</w:t>
      </w:r>
    </w:p>
    <w:p>
      <w:r>
        <w:t>IT: VD_OMNI GE.2011.0107 del 7 settembre 2011</w:t>
      </w:r>
    </w:p>
    <w:p>
      <w:pPr>
        <w:pStyle w:val="Heading2"/>
      </w:pPr>
      <w:r>
        <w:t>Regeste</w:t>
      </w:r>
    </w:p>
    <w:p>
      <w:r>
        <w:t>X.________ c/Département de l'intérieur | Si la réparation morale accordée au titre de l'aide aux victimes d'infractions n'atteint pas sans autre le même montant que celle du droit civil (ici 7'000 fr.), il y a en l'espèce lieu de porter à 4'000 fr. (au lieu de 2'500 fr.) l'indemnité allouée à une jeune femme violentée et menacée à plusieurs reprises (parfois avec une arme à feu) par son compagnon de l'époque. L'atteinte psychologique subie par la recourante s'est en effet révélée très profonde. Les agressions, menaces et pressions constantes ont généré chez elle un état de stress post-traumatique, ainsi qu'une réaction mixte anxieuse et dépressive, et l'ont amenée à suivre un long traitement médicamenteux. Recours partiellement admis.</w:t>
      </w:r>
    </w:p>
    <w:p>
      <w:pPr>
        <w:pStyle w:val="Heading2"/>
      </w:pPr>
      <w:r>
        <w:t>Erwägungen</w:t>
      </w:r>
    </w:p>
    <w:p>
      <w:r>
        <w:rPr>
          <w:b/>
        </w:rPr>
        <w:t>E. 1</w:t>
      </w:r>
    </w:p>
    <w:p>
      <w:r>
        <w:t>La loi fédérale du 23 mars 2007 sur l'aide aux victimes d'infractions (LAVI, RS. 312.5) est entrée en vigueur le 1 er janvier 2009. En vertu de l'art. 48 LAVI, le droit d'obtenir une indemnité pour des faits qui se sont déroulés avant l'entrée en vigueur de la loi sont régis par l'ancien droit (let. a). Il en va de même des demandes de contribution aux frais qui sont pendantes à l'entrée en vigueur de la nouvelle loi (let. c). La présente cause doit par conséquent être examinée sous l'angle de la loi fédérale du 4 octobre 1991 sur l'aide aux victimes d'infractions (aLAVI; RO 1992 2465 et les modifications ultérieures).</w:t>
      </w:r>
    </w:p>
    <w:p>
      <w:r>
        <w:rPr>
          <w:b/>
        </w:rPr>
        <w:t>E. 2</w:t>
      </w:r>
    </w:p>
    <w:p>
      <w:r>
        <w:t>a) L'art. 1 al. 2 aLAVI prévoit que l'aide fournie aux victimes d'infractions comprend des conseils (let. a), la protection de la victime et la défense de ses droits dans la procédure pénale (let. b) et l'indemnisation et la réparation morale (let. c). Aux termes de l'art. 2 al. 1 aLAVI, bénéficie d'une aide selon la LAVI toute personne qui a subi, du fait d'une infraction, une atteinte directe à son intégrité corporelle, sexuelle ou psychique (victime), que l'auteur ait été découvert ou non ou que le comportement de celui-ci soit ou non fautif. Toute victime d'une infraction commise en Suisse peut demander une indemnisation ou une réparation morale dans le canton dans lequel l'infraction a été commise (art. 11 al. 1, 1 ère phrase aLAVI). b) La recourante conteste en l'espèce le montant de l'indemnité lui ayant été alloué par l'autorité intimée à titre de réparation du tort moral, fixé à 2'500 francs. La qualité de victime de la recourante, de même que le principe de l'indemnisation ne sont pour leur part pas contestés. Il sied de relever que la recourante conclut devant la présente instance de recours à l'attribution d'un montant de 8'000 fr. à titre d'indemnité pour tort moral, alors même que ses conclusions initiales devant l'autorité intimée s'élevaient à 7'000 fr. - correspondant à la somme fixée dans le jugement pénal du 5 mars 2009. Tout porte en l'occurrence à croire que la recourante n'a pas véritablement souhaité augmenter ses conclusions devant la CDAP, mais qu'il s'agit là uniquement d'une inattention de sa part, comme en témoigne du reste un passage de son acte de recours où elle fait valoir que la fourchette d'indemnisation " devrait au moins s'élever jusqu'à la somme allouée dans le cas d'espèce par le juge pénal, à savoir 8'000 francs ". Il n'est à cet égard pas exclu qu'elle ait été induite en erreur par l'autorité intimée, laquelle a elle-même indiqué à tort dans sa décision que le montant alloué par le juge pénal se montait à 8'000 francs. Point n'est cependant besoin d'examiner plus avant cette question dès lors que, conformément à l'art. 89 de la loi du 28 octobre 2008 sur la procédure administrative [LPA-VD; RSV 173.36]), applicable par renvoi de l’art. 99 LPA-VD, l’autorité n’est pas liée par les conclusions des parties (al. 1).</w:t>
      </w:r>
    </w:p>
    <w:p>
      <w:r>
        <w:rPr>
          <w:b/>
        </w:rPr>
        <w:t>E. 2.3</w:t>
      </w:r>
    </w:p>
    <w:p>
      <w:r>
        <w:t>p. 315; ATF 128 II 49 consid. 4.3 p. 55; ATF 125 II 169 consid. 2b/bb p. 174; Converset, op. cit., p. 261; Peter Gomm/Peter Stein/Dominik Zehntner, Kommentar zum Opferhilfegesetz, Berne 1995, n. 26 ad art. 12 aLAVI,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(FF 1990 II 924; ATF 124 II 8 consid. 3d/bb p. 14/15).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l’IPAI), ce n'est pas seulement le critère objectivement mesurable (p. ex. une invalidité médico-théorique) qui est décisif; il s’agit d’évaluer le préjudice immatériel subi (Peter Gomm/Dominik Zehntner, Opferhilfegesetz, Berne 2009, ad art. 23 LAVI n° 5,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(Klaus Hütte/Petra Ducksch/Kayum Guerrero, Die Genugtuung, 3 ème édition, Zurich/Bâle/Genève 2005,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(v. Cédric Mizel, La qualité de victime LAVI et la mesure actuelle des droits qui en découlent, in JT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v. également Franz Werro, in Commentaire romand, Code des obligations I, Bâle 2003, n° 22 ad art. 47 CO, p. 340). cc)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Gomm/Zehntner, op. cit., n° 5 ad art. 23 LAVI, p. 183; Converset, op. cit., p. 280)."</w:t>
      </w:r>
    </w:p>
    <w:p>
      <w:r>
        <w:rPr>
          <w:b/>
        </w:rPr>
        <w:t>E. 3</w:t>
      </w:r>
    </w:p>
    <w:p>
      <w:r>
        <w:t>a) La CDAP a rappelé l'état de droit et de la jurisprudence dans un récent arrêt du 22 février 2011 (GE.2009.0113 consid. 7), lequel reprenait les considérants développés dans un précédent arrêt du 17 février 2010 (GE.2009.0206 consid. 4b). Il convient de citer les passages suivants: "Le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p. 36; 125 III 269 consid. 2a p. 273; 118 II 410 consid. 2a p. 413 et les arrêts cités).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Selon la jurisprudence,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(ATF 129 II 312 consid. 2 p. 314 ss, notamment consid. 2.8 p. 317). aa)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(ATF 132 II 117 consid. 2.2.4 p. 121; 1C_182/2007 du 28 novembre 2007 consid. 4 ; 1A.228/2004 du 3 août 2005 consid. 10.2; ATF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Stéphanie Converset, Aide aux victimes d’infractions et réparation du dommage, Genève/Zurich/Bâle 2009, p. 262 ). Le refus d’une réparation peut aussi se justifier par des considérations d’équité. Le large pouvoir d'appréciation reconnu à l'autorité d'indemnisation n'a comme principales limites que le respect de l'égalité de traitement et l'interdiction de l'arbitraire (ATF 129 II 312 consid.</w:t>
      </w:r>
    </w:p>
    <w:p>
      <w:r>
        <w:rPr>
          <w:b/>
        </w:rPr>
        <w:t>E. 4</w:t>
      </w:r>
    </w:p>
    <w:p>
      <w:r>
        <w:t>La jurisprudence fédérale est constante, notamment quant au principe selon lequel la réparation morale accordée au titre de l'aide aux victimes d'infractions n'atteint pas sans autre le même montant que celle du droit civil, mais peut cas échéant s'en écarter voire être supprimée (ATF 132 II 117 consid. 2.2.4 p. 121; ATF 1C_412/2010 du 20 janvier 2011 consid. 4.1). Dans l'arrêt GE.2009.0206 cité qui concernait la directrice d'une bijouterie victime d'une tentative de brigandage après avoir été surprise à son domicile privé, puis contrainte de demeurer une heure aux côtés d'un des auteurs munis d'un couteau, d'où état de stress post-traumatique mais sans incapacité de travail, la CDAP a établi un catalogue casuistique détaillé. Ce catalogue, plus précis que le récent Guide relatif à la fixation du montant de la réparation morale à titre d’aide aux victimes d’infractions à l'intention des autorités cantonales en charge de l’octroi de la réparation morale à titre de LAVI, élaboré en octobre 2008 par l'Office fédéral de la justice (http://www.ejpd.admin.ch/content/dam/data/gesellschaft/opferhilfe/leitf-genugtuung-ohg-f.pdf), est reproduit ci-dessous (consid. 5b ss): " b) En second lieu, l’autorité intimée a refusé d’allouer à la recourante une quelconque indemnité au titre de réparation du tort moral subi. Celle-ci prétend à l’allocation à ce titre du montant de 15'000 fr. qui lui a été alloué par le Tribunal correctionnel. aa)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jugement du 28 janvier 2008 du Tribunal des assurances, LAVI 10/06 – 02/2008 consid. 5a p. 11). Un montant de 10'000 fr. a été octroyé dans les cas suivants: pour des coups de couteaux multiples ayant mis la vie de la victime en danger; pour des fractures multiples au visage, une perte de l’emploi et une invalidité durable;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à l’épouse, qui a très régulièrement fait l’objet de maltraitance physique; à la femme victime d’un braquage dans son kiosque, qui a été blessée à la tête, mais sans atteinte durable;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à la victime qui, en essayant de mettre fin à une dispute, a reçu plusieurs coups de poing au visage et a perdu cinq dents; à la personne qui a subi un braquage, reçu des coups de poing et de pied au visage et sur le corps, après être tombée à terre; - 1'500 fr. à la personne qui a reçu sur le visage une assiette remplie de riz bouillant et qui a souffert de brûlures au deuxième degré; à la victime de menaces et de voies de fait multiples, qui a été durablement importunée après avoir mis fin à sa relation avec l’auteur des violences; à la victime d’une morsure à l’avant-bras et de coups de poing au visage; à la victime qui a eu des cauchemars après avoir été menacée avec une arme et séquestrée; - 1'500 fr. a également été versé à la personne agressé par trois jeunes, qui s’est évanouie après avoir reçu un coup fort sur la nuque, s’est fait voler son sac à main,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à la victime d’un braquage lors duquel celle-ci a été frappée au visage et a reçu des coups de poing et de pied de deux hommes; pour des lésions corporelles simples au bras et à l’œil."</w:t>
      </w:r>
    </w:p>
    <w:p>
      <w:r>
        <w:rPr>
          <w:b/>
        </w:rPr>
        <w:t>E. 5</w:t>
      </w:r>
    </w:p>
    <w:p>
      <w:r>
        <w:t>a) En l'occurrence, dans la décision attaquée, l'autorité intimée a indiqué " qu'au vu de la jurisprudence et des éléments du cas d'espèce, compte tenu notamment de l'utilisation d'une arme à feu et des lourdes conséquences psychologiques dont souffre la victime ", il se justifiait d'allouer à la recourante la somme de 2'500 fr. à titre de réparation du tort moral subi. A l'appui de sa décision, elle s'est référée à trois précédents. Il s'agissait en premier lieu d'un jugement du tribunal de district de Winterthur qui avait alloué la somme de 4'000 fr. en 2004 à une femme frappée par son conjoint à coups de poing au visage, lequel lui avait également tiré les cheveux et l'avait menacée avec une arme à feu. L'autorité intimée a du reste évoqué deux de ses précédentes décisions, à savoir, d'une part, l'octroi d'un montant de 2'500 fr. à une femme battue par son mari pendant environ quatre ans et menacée d'un couteau en présence de leur enfant, qui en avait subi un long traumatisme psychologique et, d'autre part, l'allocation de la somme de 1'500 fr. à une femme battue par son conjoint à plusieurs reprises (hématome et dermabrasion) et souffrant de dépression liée à ces maltraitances. b) La recourante estime que le montant adjugé par l'autorité intimée est manifestement trop bas et que sa fixation relève de l'arbitraire. Elle expose que si sa situation présente certes des similitudes avec les trois - seuls - exemples cités par l'autorité intimée, il existe bien plus un cumul des différents facteurs à prendre en considération, soit l'existence de menaces de mort et l'utilisation d'une arme à feu à réitérées reprises. Elle soutient de surcroît avoir subi une pression permanente, des violences et injures quotidiennes, un isolement social, ainsi que des pressions économiques. Alléguant encore que l'autorité intimée n'a pas tenu compte de son jeune âge au début de sa relation avec l'auteur des faits, elle indique que la condamnation par défaut de ce dernier doit également être prise en considération. Considérant ainsi son cas comme étant plus lourd que ceux mis en exergue par l'autorité intimée, elle fait valoir que la fourchette d'indemnisation devrait à tout le moins osciller entre un montant supérieur à 4'000 et 8'000 fr., montant dont elle indique, erronément, qu'il correspond à la somme allouée par le juge pénal. c) En l'espèce, il convient tout d'abord de relever que la recourante a subi diverses lésions physiques, comme en a attesté une infirmière du CHUV l'ayant examinée au lendemain de l'épisode du 7 janvier 2007. Une abrasion dans le cuir chevelu recouverte d'une croûte mesurant 0.4 x 0.1 cm, une discrète ecchymose de 0.5 cm de diamètre sur le bras, de même qu'une ecchymose rougeâtre de 5 cm de diamètre au genou ont ainsi été constatées (constat médical du 8 janvier 2007 établi par Mme Z.________ et le Dr A.________, auquel se réfère la décision attaquée). Si ces blessures physiques, relativement superficielles, ont manifestement guéri sans laisser de séquelles particulières, l'atteinte psychologique subie par la recourante, imputable au comportement violent et menaçant de son ancien ami, s'est en revanche révélée très profonde. On rappellera ici que l'auteur des faits était en effet parvenu à instaurer un véritable climat de terreur et que même après la rupture du couple, la jeune femme avait vécu dans l'angoisse de le recroiser, allant jusqu'à ne plus oser dormir seule (jugement du Tribunal correctionnel du 5 mars 2009, p. 13 et 15). Le médecin l'ayant reçue les 9, 15 et 24 janvier 2007 avait relevé un état de choc post-traumatique se manifestant par des attaques de panique, une humeur labile et des troubles du sommeil, avec de fréquents cauchemars (certificat médical établi le 5 février 2007 par le Dr B.________, dont il est fait mention dans la décision attaquée). Son incapacité de travail a été totale du 7 janvier 2007 jusqu'au 14 janvier 2007, puis à 50 % dès le 15 janvier 2007 pour une date indéterminée (ibid.). Parallèlement au traitement médicamenteux (prise d'anti-dépresseurs) introduit dès le 15 janvier 2007 (ibid.), prolongé jusqu'en août 2008, la recourante a été prise en charge p ar une psychologue. Cette dernière a constaté, en février 2007, que la jeune femme présentait un état de stress post-traumatique, ainsi qu'une réaction mixte anxieuse et dépressive en lien avec la violence subie ( certificat médical du 23 février 2007 établi par C.________, spécialiste en psychologie FSP, dont il est fait mention dans la décision attaquée). Force est d'admettre que la recourante a été gravement et longuement affectée au plan psychologique ensuite des agressions, pressions constantes et menaces, parfois avec l'usage d'une arme, dont elle a été victime pendant sa relation avec son ancien ami, voire après leur rupture. Compte tenu de l'ensemble des circonstances du cas d'espèce, en particulier de l'importance du traumatisme psychique subi, il convient de conclure que le montant de 2'500 fr. alloué à la recourante à titre de réparation morale s'avère insuffisant. Cette indemnité, tenant compte de l'intérêt couru depuis les événements dommageables, doit équitablement être portée à 4'000 francs.</w:t>
      </w:r>
    </w:p>
    <w:p>
      <w:r>
        <w:rPr>
          <w:b/>
        </w:rPr>
        <w:t>E. 6</w:t>
      </w:r>
    </w:p>
    <w:p>
      <w:r>
        <w:t>Il résulte des considérants qui précèdent que le recours doit être partiellement admis. Conformément à l'art. 16 al. 1 aLAVI, la procédure est gratuite. Représentée par un mandataire professionnel, la recourante a droit 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