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GE.2011.0104 vom 21. Dezember 2011</w:t>
      </w:r>
    </w:p>
    <w:p>
      <w:r>
        <w:t>VD Tribunal cantonal, 2011-12-21, FR</w:t>
      </w:r>
    </w:p>
    <w:p>
      <w:r>
        <w:rPr>
          <w:b/>
        </w:rPr>
        <w:t xml:space="preserve">Quelle: </w:t>
      </w:r>
      <w:r>
        <w:t>https://mcp.opencaselaw.ch/entscheid/vd_omni_GE.2011.0104</w:t>
      </w:r>
    </w:p>
    <w:p>
      <w:r>
        <w:t>FR: VD_OMNI GE.2011.0104 du 21 décembre 2011</w:t>
      </w:r>
    </w:p>
    <w:p>
      <w:r>
        <w:t>IT: VD_OMNI GE.2011.0104 del 21 dicembre 2011</w:t>
      </w:r>
    </w:p>
    <w:p>
      <w:pPr>
        <w:pStyle w:val="Heading2"/>
      </w:pPr>
      <w:r>
        <w:t>Regeste</w:t>
      </w:r>
    </w:p>
    <w:p>
      <w:r>
        <w:t>X.________ c/Service des automobiles et de la navigation | Rejet du recours déposé par un détenteur d'un véhicule ayant omis de signaler un changement d'assurance responsabilité civile. Quand bien même il n'y a pas eu d'interruption de la couverture d'assurance en l'espèce, c'est à bon droit que le SAN a facturé les frais induits par la décision relative au retrait du permis de circulation et des plaques de contrôle du véhicule. Les attestations électroniques émises par les sociétés d'assurance n'ont en effet pas vocation à se substituer au devoir d'annonce du détenteur (art. 74 al. 5 OAC). Elles n'attestent du changement opéré que durant une période limitée si bien que sans autres nouvelles du recourant, l'autorité intimée était fondée à prononcer la décision querellée une fois informée de la cessation du contrat liant le détenteur du véhicule à son ancien assureur. L'émolument de 200 francs facturé en l'espèce selon l'art. 24 RE-SAN répond en outre aux principes de l'équivalence et de la couverture des frais.</w:t>
      </w:r>
    </w:p>
    <w:p>
      <w:pPr>
        <w:pStyle w:val="Heading2"/>
      </w:pPr>
      <w:r>
        <w:t>Erwägungen</w:t>
      </w:r>
    </w:p>
    <w:p>
      <w:r>
        <w:rPr>
          <w:b/>
        </w:rPr>
        <w:t>E. 1</w:t>
      </w:r>
    </w:p>
    <w:p>
      <w:r>
        <w:t>let. a LPA-VD), le recours, qui a été remis le 7 mai 2011 à un bureau de poste suisse à l’attention du Tribunal cantonal (art. 20 al. 1 LPA-VD), a été formé en temps utile. Il convient donc d’entrer en matière sur ce recours qui satisfait du reste aux exigences de forme posées par la loi (art. 79 al. 1 LPA-VD, applicable par analogie au recours au Tribunal cantonal par renvoi de l’art. 99 LPA-VD).</w:t>
      </w:r>
    </w:p>
    <w:p>
      <w:r>
        <w:rPr>
          <w:b/>
        </w:rPr>
        <w:t>E. 2</w:t>
      </w:r>
    </w:p>
    <w:p>
      <w:r>
        <w:t>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L’autorité retirera le permis de circulation et les plaques de contrôle dès qu’elle aura reçu l’avis.</w:t>
      </w:r>
    </w:p>
    <w:p>
      <w:r>
        <w:rPr>
          <w:b/>
        </w:rPr>
        <w:t>E. 3</w:t>
      </w:r>
    </w:p>
    <w:p>
      <w:r>
        <w:t>Le retrait du permis devient caduc si le détenteur du véhicule remet à l’autorité une nouvelle attestation d’assurance.</w:t>
      </w:r>
    </w:p>
    <w:p>
      <w:r>
        <w:rPr>
          <w:b/>
        </w:rPr>
        <w:t>E. 4</w:t>
      </w:r>
    </w:p>
    <w:p>
      <w:r>
        <w:t>Il résulte de ce qui précède que le recours, mal fondé, doit être rejeté. Le recourant, qui succombe, supportera les frais judiciaires (art. 49 al. 1 LPA-VD), qui seront arrêtés à 600 fr. (art. 1 al. 1 et 4 al. 3 du Tarif des frais judiciaires en matière de droit administratif et public [TFJAP; RSV 173.36.5.1]) et seront compensés avec l’avance fournie (cf. art. 47 LPA-VD). Il n’y a en outre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