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GE.2011.0042 vom 14. Juni 2011</w:t>
      </w:r>
    </w:p>
    <w:p>
      <w:r>
        <w:t>VD Tribunal cantonal, 2011-06-14, FR</w:t>
      </w:r>
    </w:p>
    <w:p>
      <w:r>
        <w:rPr>
          <w:b/>
        </w:rPr>
        <w:t xml:space="preserve">Quelle: </w:t>
      </w:r>
      <w:r>
        <w:t>https://mcp.opencaselaw.ch/entscheid/vd_omni_GE.2011.0042</w:t>
      </w:r>
    </w:p>
    <w:p>
      <w:r>
        <w:t>FR: VD_OMNI GE.2011.0042 du 14 juin 2011</w:t>
      </w:r>
    </w:p>
    <w:p>
      <w:r>
        <w:t>IT: VD_OMNI GE.2011.0042 del 14 giugno 2011</w:t>
      </w:r>
    </w:p>
    <w:p>
      <w:pPr>
        <w:pStyle w:val="Heading2"/>
      </w:pPr>
      <w:r>
        <w:t>Regeste</w:t>
      </w:r>
    </w:p>
    <w:p>
      <w:r>
        <w:t>X.________ Sàrl/Service de l'emploi | Travail au noir. Facturation des frais de contrôle. En occupant une ressortissante étrangère non autorisée à séjourner et à travailler en Suisse, la recourante a enfreint ses obligations au sens de l'art. 6 LTN. Cela étant, l'autorité intimée était en droit de mettre à sa charge les frais occasionné par le contrôle. Pour le surplus, la recourante ne conteste ni le tarif horaire appliqué, ni le décompte d'heures effectué par l'autorité intimée.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loi fédérale du 17 juin 2005 concernant des mesures en matière de lutte contre le travail au noir (LTN ; RS 822.41), entrée en vigueur le 1 er janvier 2008, institue en particulier des mécanismes de contrôle et de répression (art. 1 LTN). Les cantons doivent désigner, dans le cadre de leur législation, l’organe de contrôle cantonal compétent sur leur territoire (art. 4 al. 1 LTN). La loi vaudoise du 5 juillet 2005 sur l'emploi (LEmp; RSV 822.11), entrée en vigueur le 1 er janvier 2006 (modifiée par la loi du 1 er juillet 2008, entrée en vigueur le 1 er novembre 2008), a notamment pour but de mettre en œuvre les mesures de lutte contre le travail au noir (art. 1 al. 2 let. f LEmp). Le Service de l'emploi est l’organe de contrôle cantonal compétent au sens de la LTN (art. 72 LEmp). b) L’organe de contrôle cantonal examine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dont la dernière modification, par le règlement du 1 er octobre 2008, est entrée en vigueur le 1 er novembre 2008, prévoit à son art. 44 que les personnes contrôlées n’ayant pas respecté leurs obligations en matière d’annonce et d’autorisation visées à l’art. 6 LTN s’acquittent d’un émolument d’un montant de 100 fr. par heure.</w:t>
      </w:r>
    </w:p>
    <w:p>
      <w:r>
        <w:rPr>
          <w:b/>
        </w:rPr>
        <w:t>E. 3</w:t>
      </w:r>
    </w:p>
    <w:p>
      <w:r>
        <w:t>En l'espèce, la recourante ne conteste pas les faits qui lui sont reprochés. Elle invoque toutefois sa bonne foi. La cour de céans s'est déjà prononcée sur cette argumentation de la recourante dans l'arrêt rendu dans la cause PE.2011.0071 instruite parallèlement. Elle l'a écartée pour confirmer que la recourante avait bien enfreint les règles en matière d'engagement de personnel étranger en utilisant les services d'une ressortissante étrangère qui n'était pas en possession d'une autorisation de travail au moment de la prise d'emploi. Cela étant, c'est à juste titre que l'autorité intimée a mis les frais occasionnés par le contrôle du 21 octobre 2010 à la charge de la recourante, qui ne conteste pour le surplus ni le tarif horaire appliqué, ni le décompte d'heures effectué par l'autorité intimée.</w:t>
      </w:r>
    </w:p>
    <w:p>
      <w:r>
        <w:rPr>
          <w:b/>
        </w:rPr>
        <w:t>E. 4</w:t>
      </w:r>
    </w:p>
    <w:p>
      <w:r>
        <w:t>Les considérants qui précèdent conduisent au rejet du recours et à la confirmation de la décision attaquée. La recourante, qui succombe, supportera les frais de justice.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