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GE.2011.0032 vom 14. Juni 2012</w:t>
      </w:r>
    </w:p>
    <w:p>
      <w:r>
        <w:t>VD Tribunal cantonal, 2012-06-14, FR</w:t>
      </w:r>
    </w:p>
    <w:p>
      <w:r>
        <w:rPr>
          <w:b/>
        </w:rPr>
        <w:t xml:space="preserve">Quelle: </w:t>
      </w:r>
      <w:r>
        <w:t>https://mcp.opencaselaw.ch/entscheid/vd_omni_GE.2011.0032</w:t>
      </w:r>
    </w:p>
    <w:p>
      <w:r>
        <w:t>FR: VD_OMNI GE.2011.0032 du 14 juin 2012</w:t>
      </w:r>
    </w:p>
    <w:p>
      <w:r>
        <w:t>IT: VD_OMNI GE.2011.0032 del 14 giugno 2012</w:t>
      </w:r>
    </w:p>
    <w:p>
      <w:pPr>
        <w:pStyle w:val="Heading2"/>
      </w:pPr>
      <w:r>
        <w:t>Regeste</w:t>
      </w:r>
    </w:p>
    <w:p>
      <w:r>
        <w:t>X.________ GmbH c/Service de l'emploi | Travail au noir; confirmation de la mise à la charge de l'employeur de frais de contrôle, sur le principe et la quotité. Recours rejeté. Recours au TF admis (violation du droit d'être entendu) et renvoi de la cause à la CDAP pour nouvelle décision dans le sens des considérants (ATF 2C_778/2012 et 2C_779/2012 du 19 novembre 2012).</w:t>
      </w:r>
    </w:p>
    <w:p>
      <w:pPr>
        <w:pStyle w:val="Heading2"/>
      </w:pPr>
      <w:r>
        <w:t>Erwägungen</w:t>
      </w:r>
    </w:p>
    <w:p>
      <w:r>
        <w:rPr>
          <w:b/>
        </w:rPr>
        <w:t>E. 1</w:t>
      </w:r>
    </w:p>
    <w:p>
      <w:r>
        <w:t>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D'après l'art. 95 LPA-VD, le recours s'exerce dans les 30 jours dès la notification de la décision attaquée. En l'espèce, le recours a été déposé en temps utile.</w:t>
      </w:r>
    </w:p>
    <w:p>
      <w:r>
        <w:rPr>
          <w:b/>
        </w:rPr>
        <w:t>E. 2</w:t>
      </w:r>
    </w:p>
    <w:p>
      <w:r>
        <w:t>a) La loi fédérale du 17 juin 2005 concernant des mesures en matière de lutte contre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vaudoise du 5 juillet 2005 sur l'emploi (LEmp; RSV 822.11), entrée en vigueur le 1 er janvier 2006, a notamment pour but de mettre en œuvre les mesures de lutte contre le travail au noir (art. 1 al. 2 let. f LEmp). Le SDE est l’organe de contrôle cantonal compétent (art. 72 LEmp). b)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w:t>
      </w:r>
    </w:p>
    <w:p>
      <w:r>
        <w:rPr>
          <w:b/>
        </w:rPr>
        <w:t>E. 7</w:t>
      </w:r>
    </w:p>
    <w:p>
      <w:r>
        <w:t>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d) La jurisprudence a précisé qu'il suffisait que l'on puisse reprocher au recourant une atteinte au sens de l'art. 6 LTN pour que les frais du contrôle puissent être mis à sa charge (GE.2009.0080 du 30 octobre 2009 consid. 3b où seules les infractions au droit des étrangers ont été examinées). e) En l'espèce, le tribunal a retenu que la recourante avait employé sans autorisation un employé de nationalité étrangère et violé ses obligations résultant de l'art. 91 al. 1 LEtr (cf. arrêt PE.2010.0011 précité). Ainsi, en présence d'une infraction au sens de l'art. 6 LTN, c'est à juste titre que le SDE a mis les frais de contrôle à la charge de la recourante, qui ne conteste au demeurant ni le tarif appliqué ni le décompte d'heures effectuées par l'autorité intimée. Quant au montant des frais, il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et arrêt GE.2009.0226 du 20 mai 2010 consid. 2d et les références citées). En l'occurrence, le montant de 1’375 fr. (pour 13h45 de travail) exigé au titre de frais de contrôle dans le cadre de la lutte contre le travail au noir apparaît comme objectivement et raisonnablement proportionné à la prestation fournie par l'Etat. En effet, le décompte détaillé des heures de travail effectuées permet de constater que le temps consacré aux diverses activités énoncées reste dans des limites admissibles. 3. Les considérants qui précèdent conduisent au rejet du recours aux frais de la recourante (art. 49 LPA-VD) et à la confirmation de la décision attaquée.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