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GE.2011.0005 vom 7. Juni 2011</w:t>
      </w:r>
    </w:p>
    <w:p>
      <w:r>
        <w:t>VD Tribunal cantonal, 2011-06-07, FR</w:t>
      </w:r>
    </w:p>
    <w:p>
      <w:r>
        <w:rPr>
          <w:b/>
        </w:rPr>
        <w:t xml:space="preserve">Quelle: </w:t>
      </w:r>
      <w:r>
        <w:t>https://mcp.opencaselaw.ch/entscheid/vd_omni_GE.2011.0005</w:t>
      </w:r>
    </w:p>
    <w:p>
      <w:r>
        <w:t>FR: VD_OMNI GE.2011.0005 du 7 juin 2011</w:t>
      </w:r>
    </w:p>
    <w:p>
      <w:r>
        <w:t>IT: VD_OMNI GE.2011.0005 del 7 giugno 2011</w:t>
      </w:r>
    </w:p>
    <w:p>
      <w:pPr>
        <w:pStyle w:val="Heading2"/>
      </w:pPr>
      <w:r>
        <w:t>Regeste</w:t>
      </w:r>
    </w:p>
    <w:p>
      <w:r>
        <w:t>X.________ c/HAUTE ECOLE PEDAGOGIQUE (HEP), Commission de recours HEP M. François Zürcher, Président | Echec définitif aux examens menant au bachelor of arts en enseignement pour les degrés préscolaire et primaire. En contresignant le contrat de remédiation que lui a proposé l'autorité concernée, le recourant en a accepté les conditions, lesquelles respectaient au demeurant les prescriptions définissant les modalités dont doit bénéficier l'étudiant qui se présente pour la deuxième fois à une évaluation certificative. C'est donc en vain que le recourant met en cause la validité de ce contrat de remédiation. De même, ses allégations selon lesquelles seules les parties désignées par une flèche étaient visées par la remédiation ou encore que certaines parties visées par la remédiation n'ont pas été réévaluées sont clairement dénuées de fondement. Recours rejeté. Arrêt confirmé par le TF (2D_36/2011)</w:t>
      </w:r>
    </w:p>
    <w:p>
      <w:pPr>
        <w:pStyle w:val="Heading2"/>
      </w:pPr>
      <w:r>
        <w:t>Erwägungen</w:t>
      </w:r>
    </w:p>
    <w:p>
      <w:r>
        <w:rPr>
          <w:b/>
        </w:rPr>
        <w:t>E. 1</w:t>
      </w:r>
    </w:p>
    <w:p>
      <w:r>
        <w:t>a) Ni la loi du 12 décembre 2007 sur la Haute école pédagogique (LHEP; RSV 419.11), ni son règlement d'application du 3 juin 2009 (RLHEP; RSV 419.11.1) ne prévoient expressément de voie de recours contre les décisions de la Commission de recours de la HEP en matière de résultats d'examens. Ce recours est donc de la compétence du tribunal de céans en vertu de la clause générale de compétence de l’art. 92 al. 1 de la loi du 28 octobre 2008 sur la procédure administrative (LPA-VD; RSV 173.36) qui en fait l’autorité de recours contre les décisions et décisions sur recours rendues par les autorités administratives, lorsque la loi ne prévoit aucune autre autorité pour en connaître. b) Pour le surplus, le recours a été déposé dans le délai fixé par l'art. 95 LPA-VD et respecte les conditions formelles énoncées à l’art. 79 LPA-VD.</w:t>
      </w:r>
    </w:p>
    <w:p>
      <w:r>
        <w:rPr>
          <w:b/>
        </w:rPr>
        <w:t>E. 2</w:t>
      </w:r>
    </w:p>
    <w:p>
      <w:r>
        <w:t>Dans son mémoire complémentaire daté du 6 mai 2011, le recourant s'est réservé de produire une attestation confirmant qu'il ne pourra poursuivre son activité au sein de l'Etablissement secondaire de 2******** après la fin du semestre en cours. a) Tel qu’il est garanti par l’art. 29 al. 2 Cst. ainsi que par l'art. 27 al. 2 Cst.-VD,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l'espèce, la pièce que le recourant souhaite produire n'aurait aucune influence sur l'issue du litige. Le fait qu'il doive mettre un terme à son activité professionnelle n'est en effet pas de nature à modifier l'appréciation litigieuse du module n° BP 304. Pour le surplus, l'on relèvera que, quand bien même aucun délai ne lui a été formellement imparti à cette fin, la recourant n'a à ce jour pas produit la pièce à laquelle il se réfère dans son mémoire complémentaire daté du 6 mai 2011. Le tribunal disposant d'un dossier complet lui permettant de statuer, il n'y a pas lieu d'ordonner d'autres mesures d'instruction.</w:t>
      </w:r>
    </w:p>
    <w:p>
      <w:r>
        <w:rPr>
          <w:b/>
        </w:rPr>
        <w:t>E. 3</w:t>
      </w:r>
    </w:p>
    <w:p>
      <w:r>
        <w:t>a) En matière de contrôle judiciaire du résultat d'un examen, lorsqu'il s'agit de se prononcer sur l'évaluation de résultats scolaires ou d'examens professionnels, le Tribunal fédéral restreint son pouvoir d'examen à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laissée guider par des motifs sans rapport avec l'examen ou d'une autre manière manifestement insoutenables, de telle sorte que celui-ci apparaît arbitraire. Pour des motifs d'égalité de traitement, il observe cette même retenue lorsqu'il revoit l'évaluation des résultats d'un examen portant sur l'aptitude à l'exercice d'une profession juridique (ATF 2D_53/2009 du 25 novembre 2009 consid. 1.4; 2D_86/2007 du 21 février 2008 consid. 1.4; 131 I 467 traduit in JT 2007 I 98 consid. 3.1 p. 99 et les références citées). b) Même s'il dispose d'un libre pouvoir d'examen en légalité, plus large que celui du Tribunal fédéral restreint à l'arbitraire, le tribunal de céans s'impose une certaine retenue lorsqu'il est appelé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GE.2010.0045 du 11 octobre 2010 consid. 2b p. 4; GE.2009.0243 du 27 mai 2010 consid. 2 p. 7; GE.2008.0123 du 15 octobre 2009 consid. 2c pp. 16 s. et les références citées).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du 15 juin 2001). Le tribunal de céans, compte tenu de la retenue particulière qu'il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GE.2010.0045; GE.2009.0243; GE.2008.0123 et GE.2000.0135 précités).</w:t>
      </w:r>
    </w:p>
    <w:p>
      <w:r>
        <w:rPr>
          <w:b/>
        </w:rPr>
        <w:t>E. 4</w:t>
      </w:r>
    </w:p>
    <w:p>
      <w:r>
        <w:t>Le recourant met en premier lieu en doute la validité du contrat de remédiation qu'il a conclu le 15 février 2010. Il dénonce une absence de base légale ainsi qu'une violation de la décision n° 209 du Comité de direction du 27 octobre 2008 (ci-après: la décision n° 209). a) Les dispositions du règlement du 24 novembre 2005 sur les études menant au Bachelor of arts en enseignement pour les degrés préscolaire et primaire et au Diplôme d'enseignement pour les degrés préscolaire et primaire (RBA), applicable ratione temporis au cas d'espèce, prévoyaient notamment ce qui suit: " Référentiel Art. 25.- Les études sont structurées de manière à permettre l'acquisition de compétences professionnelles mentionnées dans un référentiel. Contenu des études Art. 26.- Les études comprennent les éléments de formation suivants: a)     des modules, obligatoires ou optionnels, composés de cours et de séminaires; b)    des stages et d'autres activités de formation pratique; c)     des séminaires d'intégration semestriels; d) le mémoire professionnel. d) (...) Types d'évaluations Art. 42.- Les prestations des étudiants font l'objet de deux types d'évaluation: a)    l'évaluation formative; b)    l'évaluation certificative. Evaluation formative Art. 43.- L'évaluation formative offre un ou plusieurs retours d'information à l'étudiant sur son niveau en cours de module, de stage, de séminaire d'intégration semestriel et de préparation du mémoire professionnel. Evaluation certificative Art. 44.- L'évaluation certificative se réfère aux niveaux de maîtrise des compétences professionnelles requis par le plan d'études. Elle se base sur des critères préalablement communiqués aux étudiants et leur permet d'obtenir des crédits ECTS. 2 L'évaluation certificative respecte les principes de proportionnalité, d'égalité de traitement et de transparence. Objets de l'évaluation certificative Art. 45.- Font l'objet d'une évaluation certificative: a)     les modules; b)     les stages et les autres activités de formation pratique; c)     le mémoire professionnel. Formes de l'évaluation certificative Art. 46.- Les formes de l'évaluation certificative peuvent être a)     l'examen oral; b)     l'examen écrit; c)     le travail écrit personnel ou de groupe; d)     la présentation orale; e)     le bilan certificatif de stage. 2 Un élément de formation peut faire l'objet de plusieurs formes d'évaluation. 3 La forme et les modalités de l'évaluation certificative sont communiquées aux étudiants au plus tard durant la première moitié de chaque élément de formation. Echelle des notes Art. 47.- L'évaluation certificative est basée sur l'échelle suivante: a)     A: excellent niveau de maîtrise; b)     B: très bon niveau de maîtrise; c)     C: bon niveau de maîtrise; d)     D: niveau de maîtrise satisfaisant; e)     E: niveau de maîtrise passable; f)      F: niveau de maîtrise insuffisant. (...) Réussite Art. 52.- Lorsque la note attribuée est comprise entre A et E, l'élément de formation est réussi. Les crédits d'études ECTS correspondants sont attribués. Seconde évaluation Art. 53.- Lorsque la note F est attribuée, l'élément de formation n'est pas réussi. L'étudiant doit se présenter à une seconde évaluation. 2 La seconde évaluation doit avoir lieu au plus tard lors de la troisième session d'examens qui suit le dernier semestre au cours duquel se déroule l'élément de formation. Echec Art. 54.- Lorsque l'étudiant obtient la note F à la seconde évaluation d'un élément de formation, l'échec des études est considéré comme définitif, sous réserve de l'article 56 du présent règlement. Cas particuliers a) échec à l'évaluation d'un stage Art. 55.- En cas d'un premier échec à l'évaluation d'un stage, une nouvelle période de stages est fixée pour permettre à l'étudiant d'atteindre le niveau de maîtrise requis lors de la seconde évaluation. Dans ce cas, l'art. 50, al. 2 s'applique. 2 Toutefois, lorsqu'un stage est accompli en tant que maître stagiaire et que l'évaluation intermédiaire prévue à l'art. 50 n'est pas suivie des progrès demandés, le stage peut être interrompu par la direction de la HEP au profit d'un stage accompli dans ces classes tenues par des praticiens formateurs. Cette décision est considérée comme un premier échec du stage. b) échec dans un module Art. 56.- A unes seule reprise au cours de sa formation, l'étudiant qui échoue dans un module peut se présenter une troisième et dernière fois à la procédure d'évaluation. 2 La troisième évaluation doit avoir lieu au plus tard lors de la troisième session d'examens qui suit le dernier semestre au cours duquel se déroule l'élément de formation. (...)" Pour sa part, le ch. 5 de la décision n° 209 précise que les étudiants qui se présentent pour la deuxième fois doivent bénéficier autant que possible des mêmes modalités que lors de leur première tentative. b) L'argument selon lequel la conclusion d'un contrat de remédiation ne repose sur aucune base légale et viole la décision du Comité de direction susmentionnée ne résiste pas à l'examen. En effet, la décision n° 209 se limite à définir les modalités dont doit bénéficier l'étudiant qui se présente pour la deuxième fois à une évaluation certificative. Ainsi, la forme, la structure générale de l'épreuve, les délais et les ressources disponibles doivent rester identiques. Dans ce cadre, toutefois, des aménagements restent possibles. En l'occurrence, l'autorité concernée a proposé au recourant de ne reprendre que cinq parties de l'ensemble du module n° BP 304, à savoir celles pour lesquelles il avait obtenu le moins de points et dont le potentiel d'amélioration était par conséquent le plus grand. Certes, en acceptant cette façon de procéder, le recourant se privait de la possibilité d'améliorer son score dans les autres domaines non soumis à la remédiation. En revanche, il en tirait indubitablement les avantages liés à la circonscription de sa tâche, son temps et son énergie pouvant être consacrés à ces seuls aspects. En outre, il ne risquait pas de perdre des points déjà acquis lors du premier essai. Il apparaît dès lors que la délimitation des parties de l'examen à reprendre s'est dessinée dans l'intérêt bien compris du recourant et entrait dans le cadre défini par le règlement d'étude et la décision n° 209. Pour le surplus, le recourant conservait la possibilité de refuser la proposition de remédiation qui lui a été soumise et de refaire l'intégralité de l'examen. De même, il aurait pu, avant de signer ce contrat de remédiation, en négocier les clauses si par exemple il souhaitait y inclure d'autres parties de son travail. A cet égard, ses allégations selon lesquelles il n'aurait eu d'autre choix que de conclure ce contrat dont les termes lui auraient été imposés ne sont corroborées par aucun élément du dossier. Au contraire, l'autorité intimée l'a clairement informé dans sa lettre du 25 janvier 2010 qu'en cas d'échec, le dossier n'était " le plus souvent" "pas à refaire dans son intégralité" et qu'un "contrat" lui serait "proposé" . De même, les termes figurant dans le préambule du contrat de remédiation démontrent qu'il s'agissait là d'une proposition que le recourant était libre de refuser. En contresignant ce document, le recourant a dès lors accepté les conditions proposées par l'autorité concernée. Par conséquent, les critiques qu'il élève à l'encontre de cet accord, après avoir échoué une seconde fois, sont mal fondées.</w:t>
      </w:r>
    </w:p>
    <w:p>
      <w:r>
        <w:rPr>
          <w:b/>
        </w:rPr>
        <w:t>E. 5</w:t>
      </w:r>
    </w:p>
    <w:p>
      <w:r>
        <w:t>Le recourant prétend en outre que seules les parties du contrat désignées par une flèche étaient visées par la remédiation. Ce grief tombe également à faux. En effet, les termes du contrat de remédiation ont été clairement définis et il n'y a aucune raison de penser que seules les parties mises en évidence par une flèche étaient concernées. Si tel était le cas, l'autorité concernée se serait limitée à énumérer ces seuls points. Les annotations manuscrites ont très vraisemblablement été apportées afin d'insister sur les aspects les plus importants ou qui nécessitaient le plus de travail. Pour le surplus, l'on relèvera, à l'instar de l'autorité intimée, que cette question n'a aucune incidence sur l'issue du litige dès lors que le recourant a perdu un demi point sur une partie qu'il croyait ne pas devoir reprendre alors qu'il lui manque deux points pour réussir son module.</w:t>
      </w:r>
    </w:p>
    <w:p>
      <w:r>
        <w:rPr>
          <w:b/>
        </w:rPr>
        <w:t>E. 6</w:t>
      </w:r>
    </w:p>
    <w:p>
      <w:r>
        <w:t>C'est également en vain que le recourant soutient que certains éléments visés par le contrat de remédiation n'ont pas été réévalués, au motif qu'ils ont été notés de manière identique et n'ont fait l'objet d'aucun commentaire. Deux travaux différents peuvent évidemment présenter la même qualité et ainsi obtenir la même notation. L'absence de commentaire sur un point particulier du travail ne signifie pas non plus qu'il n'ait pas fait l'objet d'une évaluation.</w:t>
      </w:r>
    </w:p>
    <w:p>
      <w:r>
        <w:rPr>
          <w:b/>
        </w:rPr>
        <w:t>E. 7</w:t>
      </w:r>
    </w:p>
    <w:p>
      <w:r>
        <w:t>Le recourant dénonce ensuite un abus du pouvoir d'appréciation dans la notation du troisième critère "analyse a posteriori du projet en reprenant le schéma de M. Y.________" du troisième chapitre "Evaluation &amp; Différenciation" . Il estime en effet avoir amélioré son travail sur ce point en suivant les conseils dispensés par une professeure-formatrice et s'étonne dès lors d'obtenir une moins bonne note. De même, il critique l'évaluation effectuée par l'autorité concernée à propos du deuxième chapitre du travail intitulé "Description détaillé d'une leçon sur une nouvelle notion" . Il reproche à cette autorité de ne pas avoir attiré son attention sur un problème d' i nterprétation. Il n'appartient toutefois pas au recourant de substituer sa propre appréciation à celle des examinateurs. Il ne peut pas non plus attendre de ces derniers qu'il lui fournissent tous les éléments lui permettant de réussir son travail puisque précisément il doit démontrer, grâce à ce module, être en mesure de planifier et construire des projets en français de manière autonome. Les examens sanctionnant cette formation ont justement pour but de vérifier que le candidat possède les compétences requises pour exercer la profession d'enseignant et assumer son rôle de manière fiable, indépendante et responsable. Pour le surplus, l'on rappellera qu'il n'appartient pas au tribunal de céans de substituer sa propre appréciation à celles des examinateurs, ce d'autant plus qu'il se doit de s'imposer une certaine retenue en matière de contrôle judiciaire de résultat d'examen et qu'aucun élément en l'espèce ne permet de retenir que l'appréciation litigieuse est abusive. Mal fondés, ces griefs doivent également être écartés.</w:t>
      </w:r>
    </w:p>
    <w:p>
      <w:r>
        <w:rPr>
          <w:b/>
        </w:rPr>
        <w:t>E. 8</w:t>
      </w:r>
    </w:p>
    <w:p>
      <w:r>
        <w:t>Les considérants qui précèdent conduisent au rejet du recours aux frais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