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GE.2010.0224 vom 24. Oktober 2012</w:t>
      </w:r>
    </w:p>
    <w:p>
      <w:r>
        <w:t>VD Tribunal cantonal, 2012-10-24, FR</w:t>
      </w:r>
    </w:p>
    <w:p>
      <w:r>
        <w:rPr>
          <w:b/>
        </w:rPr>
        <w:t xml:space="preserve">Quelle: </w:t>
      </w:r>
      <w:r>
        <w:t>https://mcp.opencaselaw.ch/entscheid/vd_omni_GE.2010.0224</w:t>
      </w:r>
    </w:p>
    <w:p>
      <w:r>
        <w:t>FR: VD_OMNI GE.2010.0224 du 24 octobre 2012</w:t>
      </w:r>
    </w:p>
    <w:p>
      <w:r>
        <w:t>IT: VD_OMNI GE.2010.0224 del 24 ottobre 2012</w:t>
      </w:r>
    </w:p>
    <w:p>
      <w:pPr>
        <w:pStyle w:val="Heading2"/>
      </w:pPr>
      <w:r>
        <w:t>Regeste</w:t>
      </w:r>
    </w:p>
    <w:p>
      <w:r>
        <w:t>CLEAR CHANNEL GmbH CLEAR CHANNEL Sàrl/Municipalité de Commugny | Rejet du recours relatif à l'installation d'un procédé de réclame pour compte de tiers dans l'enceinte d'un garage/station-service. Question relative à un éventuel effet anticipé négatif des plans et règlements en voie d'élaboration dans le domaine de l'affichage laissée ouverte, la procédure engagée par la municipalité au cours da la présente procédure s'étant finalement soldée par un échec. En l'espèce, le procédé de réclame litigieux, associé aux véhicules stationnés par le garagiste, contribuerait à péjorer la situation existante du point de vue de la sécurité routière en créant un écran visuel le long de la voie d'accès permettant aux clients d'accéder ou de quitter la station-service.</w:t>
      </w:r>
    </w:p>
    <w:p>
      <w:pPr>
        <w:pStyle w:val="Heading2"/>
      </w:pPr>
      <w:r>
        <w:t>Erwägungen</w:t>
      </w:r>
    </w:p>
    <w:p>
      <w:r>
        <w:rPr>
          <w:b/>
        </w:rPr>
        <w:t>E. 1</w:t>
      </w:r>
    </w:p>
    <w:p>
      <w:r>
        <w:t>En premier lieu, on relèvera qu’il n’est pas nécessaire d’examiner le grief d'informalité initialement soulevé par la municipalité en raison du fait que le recours avait été déposé par une société différente de celle à qui la décision attaquée avait été adressée. Lors de l’audience du 30 juin 2011, l’autorité intimée a en effet indiqué qu’elle renonçait à ce moyen.</w:t>
      </w:r>
    </w:p>
    <w:p>
      <w:r>
        <w:rPr>
          <w:b/>
        </w:rPr>
        <w:t>E. 2</w:t>
      </w:r>
    </w:p>
    <w:p>
      <w:r>
        <w:t>Les parties ont requis diverses mesures d’instruction visant à établir les raisons pour lesquelles le préavis municipal concernant l’élaboration d’un règlement communal sur les procédés de réclame n’avait pas abouti. a) Le droit d'être entendu, tel qu'il est garanti par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119 Ib 492 consid. 5b/bb p. 505 s.). b) Dans le cadre de la présente procédure, l’adoption d’une réglementation communale concernant les procédés de réclame postérieurement à l’autorisation sollicitée par la recourante n’a d’intérêt pratique que dans la mesure où celle-ci peut déployer un effet anticipé négatif à l’image de ce qui prévaut en matière de plans d’affectation (cf. art. 77 LATC). La question relative à l’application par analogie des dispositions concernant les plans et règlements en voie d’élaboration dans le domaine de l’affichage est toutefois contestée et peut souffrir de demeurer indécise (voir à ce propos notamment l’arrêt GE.2007.248 du 29 décembre 2008 et l’arrêt GE.2001.116 du 9 décembre 2002 auquel il se réfère). En l’occurrence, le processus d’adoption d’une réglementation communale en matière de procédés de réclame s’est finalement soldé par un échec, celle-ci n’ayant pas été adoptée par le législatif communal. Il importe peu dans ce contexte de déterminer les raisons de ce refus par la production de procès-verbaux ou par l’audition de membres de la commission du Conseil communal comme le proposent les parties dans leurs écritures respectives. Il suffit en effet de constater l’absence de réglementation concernant l’affichage en voie d’élaboration au niveau communal pour conclure à la seule application de la législation cantonale sur les procédés de réclame dans le cadre de la présente procédure.</w:t>
      </w:r>
    </w:p>
    <w:p>
      <w:r>
        <w:rPr>
          <w:b/>
        </w:rPr>
        <w:t>E. 3</w:t>
      </w:r>
    </w:p>
    <w:p>
      <w:r>
        <w:t>Le litige porte en l’espèce sur le refus de la municipalité d’autoriser l’installation d’un procédé de réclame pour compte de tiers, celle-ci estimant que l'emplacement choisi par la société recourante est de nature à compromettre la sécurité routière. a) La souveraineté cantonale sur les routes est réservée dans les limites du droit fédéral (voir art. 3 de la loi fédérale du 19 décembre 1958 sur la circulation routière [LCR ; RS 741.01]). Ce dernier comprend des règles en matière d'affichage le long des routes; l'art. 6 LCR interdit en particulier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Aux termes de l’art. 96 de l’ordonnance du 5 septembre 1979 sur la signalisation routière (OSR; RS 741.21), sont également interdites les réclames routières qui pourraient compromettre la sécurité routière, notamment si elles: rendent plus difficile la perception des autres usagers de la route, par exemple aux abords des passages pour piétons, des intersections ou des sorties (let. a); gênent ou mettent en danger les ayants droit sur les aires de circulation affectées aux piétons (let. b); peuvent être confondues avec des signaux ou des marques (let. c); ou réduisent l’efficacité des signaux ou des marques (let. d). Sont toujours interdites les réclames routières: si elles sont placées dans le gabarit d’espace libre de la chaussée (let. a); sur la chaussée, sauf dans les zones piétonnes (let. b); dans des tunnels signalés ainsi que dans des passages souterrains dépourvus de trottoirs (let. c); si elles contiennent des signaux ou des éléments indiquant une direction à suivre (let. d). Le droit fédéral pose ainsi une réglementation minimale sur les procédés de réclame qui pourraient nuire à la sécurité routière. Mais cette réglementation n'est pas exhaustive et les cantons peuvent la compléter pour les questions qui ont trait à l'aménagement du territoire, notamment la protection du paysage, de l'environnement construit et des sites historiques. b) Le droit vaudois régit la matière par la loi du 6 décembre 1988 sur les procédés de réclame (ci-après: LPR ; RSV 943.11). Selon l'art. 17 LPR, les affiches ne sont autorisées que sur les emplacements et les supports spécialement désignés à cet effet, de façon permanente ou temporaire, par l'autorité compétente (al. 1). Sont interdits, de façon générale, tous les procédés de réclame lesquels, notamment par leur emplacement ou leurs dimensions, nuisent au bon aspect ou à la tranquillité notamment d'une localité, d'un quartier ou d'une voie publique (art. 4 LPR). La municipalité est chargée de l'application de la loi et de ses dispositions d'exécution sur tout le territoire communal, sauf le long des autoroutes ou semi-autoroutes (art. 23 LPR). L’apposition, l’installation, l’utilisation ou la modification d’un procédé de réclame est soumise à une autorisation préalable (art. 6 al. 1 LPR). Pour déterminer les emplacements admissibles, l'autorité compétente doit prendre en considération les buts poursuivis par la loi, qui sont d'assurer la protection des sites, le repos public et la sécurité de la circulation des piétons et des véhicules (art. 1 al. 1 LPR). Selon l'art. 18 al. 1 LPR, les communes peuvent édicter, en matière de procédés de réclame, un règlement communal d'application, destiné à assurer la protection des sites et des monuments, le repos public et la sécurité de la circulation des piétons et des véhicules. La LPR est complétée par un règlement d'application adopté par le Conseil d'Etat le 31 janvier 1990 (RLPR; RSV 943.11.1). Celui-ci s’applique en l’absence de règlement communal (art. 18 al. 2 LPR). Comme précédemment évoqué, la commune de Commugny a choisi de ne pas faire usage de la compétence réservée par l’art. 18 al. 1 LPR, son législatif ayant récemment rejeté une réglementation concernant les procédés de réclame. Il y a donc lieu de s’en tenir au règlement communal de police, lequel se borne à renvoyer en ce qui concerne l'affichage à l'intérieur de la localité à la loi cantonale sur les procédés de réclame et à son règlement d’application. c) En l’espèce, le procédé de réclame litigieux doit prendre place le long de la voie d’accès permettant aux clients d’accéder ou de quitter la station-service dans l’enceinte de laquelle il est situé. L’inspection locale a permis de constater que la visibilité à cet endroit était déjà entravée par plusieurs véhicules entreposés par l’exploitant du garage. Dans ces conditions, l’ajout d’un panneau publicitaire à l’emplacement prévu contribuerait à péjorer la situation existante du point de vue de la sécurité routière dès lors qu’il diminuerait encore le champ visuel des automobilistes qui souhaitent accéder à la station-service depuis Commugny ou de ceux qui désirent en sortir pour prendre la direction de Tannay. Bien que l’affichage ne débuterait en l’espèce qu’à 1m40 du sol, force est de constater que le procédé de réclame litigieux, associé aux véhicules stationnés par le garagiste, contribuerait à créer un écran visuel à un endroit où la municipalité a déjà recensé plusieurs accidents de la route. L’emplacement projeté est ainsi problématique du point de vue de la sécurité routière dès lors qu’il est susceptible de rendre plus difficile la perception des autres usagers de la route au niveau d’une sortie au sens de l’art. 96 let. a OSR. A cela s’ajoute que la parcelle attenante à la station-service où celui-ci doit prendre place est située en zone constructible. La réalisation de voies d’accès supplémentaires en relation avec de nouvelles constructions à proximité immédiate du panneau publicitaire que souhaite installer la recourante ne manquerait pas de renforcer encore le danger résultant de la configuration des lieux telle que précédemment exposée. d) La pose d’un procédé de réclame à l’emplacement litigieux étant susceptible de compromettre la sécurité routière, il y a lieu de considérer que la restriction à la liberté économique qu’emporte la décision querellée, en plus de reposer sur une base légale, est justifiée par un intérêt public prépondérant et respecte le principe de la proportionnalité. L’appréciation de la municipalité peut donc être confirmée en l’espèce sans qu’il ne soit nécessaire de procéder à l’examen de l’installation projetée sous l’angle de l’esthétique.</w:t>
      </w:r>
    </w:p>
    <w:p>
      <w:r>
        <w:rPr>
          <w:b/>
        </w:rPr>
        <w:t>E. 4</w:t>
      </w:r>
    </w:p>
    <w:p>
      <w:r>
        <w:t>Il résulte des considérants qui précèdent que le recours doit être rejeté. Vu le sort du litige, les frais de la cause sont mis à la charge des recourants. Ces derniers verseront en outre des dépens à la Commune de Commugny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