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GE.2010.0173 vom 22. März 2011</w:t>
      </w:r>
    </w:p>
    <w:p>
      <w:r>
        <w:t>VD Tribunal cantonal, 2011-03-22, FR</w:t>
      </w:r>
    </w:p>
    <w:p>
      <w:r>
        <w:rPr>
          <w:b/>
        </w:rPr>
        <w:t xml:space="preserve">Quelle: </w:t>
      </w:r>
      <w:r>
        <w:t>https://mcp.opencaselaw.ch/entscheid/vd_omni_GE.2010.0173</w:t>
      </w:r>
    </w:p>
    <w:p>
      <w:r>
        <w:t>FR: VD_OMNI GE.2010.0173 du 22 mars 2011</w:t>
      </w:r>
    </w:p>
    <w:p>
      <w:r>
        <w:t>IT: VD_OMNI GE.2010.0173 del 22 marzo 2011</w:t>
      </w:r>
    </w:p>
    <w:p>
      <w:pPr>
        <w:pStyle w:val="Heading2"/>
      </w:pPr>
      <w:r>
        <w:t>Regeste</w:t>
      </w:r>
    </w:p>
    <w:p>
      <w:r>
        <w:t>X.________ c/Municipalité de Prilly | L'autorité intimée n'a pas violé le droit d'être entendu du recourant en ne l'informant pas au préalable qu'elle entendait rendre une décision négative à son encontre quant à l'entrée en matière sur sa demande de naturalisation et en ne lui permettant pas de se déterminer à cet égard. L'extrait du casier judiciaire que contenait son dossier permettait en effet à l'autorité intimée de former sa conviction sur la base de faits objectifs et de procéder de manière non arbitraire à une appréciation anticipée des preuves proposées (consid. 2).</w:t>
      </w:r>
    </w:p>
    <w:p>
      <w:pPr>
        <w:pStyle w:val="Heading2"/>
      </w:pPr>
      <w:r>
        <w:t>Erwägungen</w:t>
      </w:r>
    </w:p>
    <w:p>
      <w:r>
        <w:rPr>
          <w:b/>
        </w:rPr>
        <w:t>E. 1</w:t>
      </w:r>
    </w:p>
    <w:p>
      <w:r>
        <w:t>Le recourant soutient que l'autorité intimée aurait violé le principe de proportionnalité en refusant d'entrer en matière sur sa demande de naturalisation au motif qu'il a fait l'objet d'une condamnation en 2010. a) La loi fédérale du 29 septembre 1952 sur l'acquisition et la perte de la nationalité suisse (LN; RS 141.0) subordonne l’octroi de l’autorisation de naturalisation à diverses conditions. S'agissant de la naturalisation ordinaire requise par le recourant, la LN pose, hormis des conditions de résidence, des conditions d'aptitude (art. 14 LN). Ainsi,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S'agissant de la condition relative au respect de l'ordre juridique suisse (let. c), le message du Conseil fédéral précise qu'il faut notamment que le candidat n'ait pas une attitude répréhensible du point de vue du droit pénal et du droit des poursuites. On attend en outre du candidat qu'il souscrive aux institutions démocratiques de notre pays. Le non-respect d'obligations de droit civil (p. ex. obligation de payer des contributions d'entretien ou des pensions alimentaires) peut aussi constituer une violation de la législation suisse. Se conformer à la législation suisse signifie plus spécialement que le candidat ne doit pas faire l'objet d'une enquête pénale en cours ni avoir d'inscription au casier judiciaire; s'agissant de délits mineurs, une naturalisation est quand-même possible. Le respect des obligations financières (faillites en cours, dettes fiscales) doit en principe être laissé à l'appréciation des autorités communales et cantonales (FF 2002 1815,  p. 1845). La loi du 28 septembre 2004 sur le droit de cité vaudois (LDCV; RSV 141.11) précise à l’art. 8 LDCV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L'art. 14 LDCV précise qu'après avoir contrôlé que le dossier contient tous les documents requis, la municipalité statue sur l'octroi de la bourgeoisie (art. 14 al. 1 LDCV).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(art. 14 al. 2 LDCV). La bourgeoisie est accordée sous réserve de l'octroi du droit de cité cantonal et de la délivrance de l'autorisation fédérale (art. 14 al. 3 LDCV). Si elle estime que les conditions de la naturalisation ne sont pas remplies, la municipalité rejette la demande et notifie au candidat une décision motivée, avec l'indication des voies de droit (art. 14 al. 4 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(cf. art. 14 al. 5 LDCV). b) aa) En l'espèce, l'autorité intimée a refusé d'entrer en matière sur la demande de naturalisation du recourant au motif qu'il avait été condamné, au mois de janvier 2010, à une peine pécuniaire de 50 jours-amende assortie du sursis et d'un délai d'épreuve de deux ans ainsi qu'à une amende de 300 fr. pour violation des règles de la circulation routière (taux d'alcoolémie qualifié). Elle a considéré que la peine prononcée ne correspondait pas à une peine d'importance mineure, tout en soulignant ne pas avoir refusé la nationalité au recourant. Par ailleurs, elle a précisé que l'échéance de la période de sursis devait être la condition à remplir pour lui permettre le dépôt de son dossier de candidature à la procédure de naturalisation. bb) S'agissant de l'infraction commise, le recourant a exposé, dans le cadre de la procédure de recours, qu'il avait fait l'objet d'un contrôle de police alors qu'il circulait, de Montreux à Lausanne, au volant d'une voiture avec un taux d'alcoolémie qualifié de 1,9 pour mille. Comme l'a relevé l'autorité intimée, le recourant semble minimiser, ou à tout le moins vouloir justifier, son comportement. Or, c'est devant l'autorité pénale qu'il lui appartenait de faire valoir ses moyens de défense. En l'occurrence, il est patent que la conduite en état d'ébriété crée une mise en danger abstraite importante pour l'ensemble des usagers de la route. A cet égard, selon les statistiques du Bureau de prévention des accidents, au-delà de la limite de 0,5 pour mille d'alcool autorisée, le risque d'accident de tous les conducteurs s'accroît énormément: à 1 pour mille, il est déjà sept fois plus élevé. L'infraction commise par le recourant n'est ainsi pas insignifiante, mais n'est pas, en tant que telle, de nature à empêcher la naturalisation du recourant. Dès lors qu'il a été condamné à une peine assortie du sursis, il est raisonnable de surseoir à la mise en œuvre de la procédure de naturalisation, à tout le moins jusqu'à l'échéance du délai d'épreuve. Dans cette mesure, la décision rendue par l'autorité intimée est conforme à la condition du respect de l'ordre juridique suisse posée par les art. 14 let. c LN et reprise à l'art. 8 LDCV. cc) Par aillleurs, l'activité de l'Etat doit répondre à un intérêt public et être proportionnée au but visé (art. 5 al. 2 Cst. et 7 al. 2 Cst-VD). Le principe de proportionnalité, au sens étroit, exige un rapport raisonnable entre le but d'une mesure et les intérêts publics ou privés compromis; il implique une pesée des intérêts (ATF 133 I 77 consid. 4.1 p. 81; 132 I 49 consid. 7.2 p. 62 et les arrêts cités). En l'espèce, la décision attaquée répond à l'intérêt public de permettre l'accès à la procédure de naturalisation à des candidats soucieux du respect de l'ordre juridique suisse. Le fait de limiter temporairement l'accès à la procédure de naturalisation en contraignant les candidats dont le casier judiciaire fait état d'une condamnation à attendre la fin d'un délai d'épreuve en lien avec une condamnation assortie du sursis constitue une mesure proportionnée au but visé. De plus, le rapport entre l'intérêt privé du recourant à pouvoir engager la procédure de naturalisation le concernant et l'intérêt public doit être qualifié de raisonnable, dès lors que le recourant pourra déposer une nouvelle fois sa demande à l'échéance du délai d'épreuve. A cet égard, compte tenu du fait que ce délai viendra à échéance dans plus d'une année, c'est à juste titre que l'autorité intimée a renoncé à suspendre la procédure comme le permet l'art. 14 al. 5 LDCV. Partant, l'autorité intimée a respecté le principe de proportionnalité.</w:t>
      </w:r>
    </w:p>
    <w:p>
      <w:r>
        <w:rPr>
          <w:b/>
        </w:rPr>
        <w:t>E. 2</w:t>
      </w:r>
    </w:p>
    <w:p>
      <w:r>
        <w:t>Le recourant se plaint également d'une violation du droit d'être entendu dans la mesure où l'autorité intimée " ne l'a même pas entendu ". a) Tel qu’il est garanti par l’art. 29 al. 2 Cst. ainsi que par l'art. 27 al. 2 Cst.-VD,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consid. 2 p. 16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apparaît à la lecture du dossier que l'autorité intimée n'a pas informé, au préalable, le recourant du fait qu'elle entendait rendre une décision négative à son encontre quant à l'entrée en matière sur sa demande de naturalisation et ne lui a pas donné la possibilité de se déterminer à cet égard. Cela étant, le dossier déposé en main de l'autorité intimée, en particulier l'extrait du casier judiciaire qu'il contenait, lui permettait de former sa conviction sur la base de faits objectifs et de procéder de manière non arbitraire à une appréciation anticipée des preuves proposées avec la certitude que les déterminations de l'intéressé ne pourraient l'amener à modifier son opinion. De plus, dans le cadre de la procédure de recours devant le tribunal, le recourant a pu faire valoir l'ensemble de ses moyens. Partant, l'autorité intimée n'a pas violé le droit d'être entendu du recourant. Ce grief doit dès lors être écarté. Enfin, les faits pertinents pour statuer sur le recours ressortant, comme on l'a vu, de l'extrait du casier judicaire du recourant, il ne se justifie pas de convoquer une audience.</w:t>
      </w:r>
    </w:p>
    <w:p>
      <w:r>
        <w:rPr>
          <w:b/>
        </w:rPr>
        <w:t>E. 3</w:t>
      </w:r>
    </w:p>
    <w:p>
      <w:r>
        <w:t>Il résulte des considérants qui précèdent que le recours doit être rejeté et la décision attaquée confirmée. Les frais du présent arrêt sont mis à la charge du recourant, qui succombe (art. 49 al. 1 de la loi du 28 octobre 2008 sur la procédure administrative, LPA-VD; RSV 173.36).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