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GE.2010.0143 vom 20. Oktober 2010</w:t>
      </w:r>
    </w:p>
    <w:p>
      <w:r>
        <w:t>VD Tribunal cantonal, 2010-10-20, FR</w:t>
      </w:r>
    </w:p>
    <w:p>
      <w:r>
        <w:rPr>
          <w:b/>
        </w:rPr>
        <w:t xml:space="preserve">Quelle: </w:t>
      </w:r>
      <w:r>
        <w:t>https://mcp.opencaselaw.ch/entscheid/vd_omni_GE.2010.0143</w:t>
      </w:r>
    </w:p>
    <w:p>
      <w:r>
        <w:t>FR: VD_OMNI GE.2010.0143 du 20 octobre 2010</w:t>
      </w:r>
    </w:p>
    <w:p>
      <w:r>
        <w:t>IT: VD_OMNI GE.2010.0143 del 20 ottobre 2010</w:t>
      </w:r>
    </w:p>
    <w:p>
      <w:pPr>
        <w:pStyle w:val="Heading2"/>
      </w:pPr>
      <w:r>
        <w:t>Regeste</w:t>
      </w:r>
    </w:p>
    <w:p>
      <w:r>
        <w:t>AX.____________, BX.______________/Département de la formation, de la jeunesse et de la culture, Direction générale de l'enseignement obligatoire, Etablissement secondaire Lausanne Isabelle-de-Montolieu | En matière de parcours scolaire, le Tribunal cantonal ne dispose que d'un pouvoir limité; il n'intervient que si l'autorité scolaire a abusé, excédé ou mésusé de son pouvoir d'appréciation (consid. 2).</w:t>
      </w:r>
    </w:p>
    <w:p>
      <w:pPr>
        <w:pStyle w:val="Heading2"/>
      </w:pPr>
      <w:r>
        <w:t>Erwägungen</w:t>
      </w:r>
    </w:p>
    <w:p>
      <w:r>
        <w:rPr>
          <w:b/>
        </w:rPr>
        <w:t>E. 1</w:t>
      </w:r>
    </w:p>
    <w:p>
      <w:r>
        <w:t>La voie du recours est ouverte contre les décisions rendues par le Département en matière scolaire, selon l’art. 123d LS, mis en relation avec l’art. 92 al. 1 de la loi du 28 octobre 2008 sur la procédure administrative (LPA-VD, RSV 173.36). Il y a lieu d’entrer en matière (cf. arrêts GE.2009.0166 du 20 novembre 2009, consid. 1, et GE.2009.0151 du 22 octobre 2009, consid.1).</w:t>
      </w:r>
    </w:p>
    <w:p>
      <w:r>
        <w:rPr>
          <w:b/>
        </w:rPr>
        <w:t>E. 2</w:t>
      </w:r>
    </w:p>
    <w:p>
      <w:r>
        <w:t>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(arrêts GE.2009.0166, précité, consid. 2a; GE.2009.0151, précité, consid. 2a; GE.2009.0142 du 10 septembre 2009, consid. 2, et les arrêts cités). Déterminer si un élève est capable de suivre une filière scolaire plutôt qu’une autre, requiert des compétences spéciales, en principe réservées aux enseignants (arrêts GE.2009.0151, consid. 2, GE.2009.0142, consid. 2, et GE.2009.0069, précités, consid. 3).</w:t>
      </w:r>
    </w:p>
    <w:p>
      <w:r>
        <w:rPr>
          <w:b/>
        </w:rPr>
        <w:t>E. 3</w:t>
      </w:r>
    </w:p>
    <w:p>
      <w:r>
        <w:t>a) 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LS). Sous réserve d’exceptions, un élève ne peut avoir plus d’un an d’avance sur l’âge normal d’entrée dans un cycle ou un degré de la scolarité obligatoire, ni plus de deux ans de retard (art. 10 LS). Les classes du septième au neuvième degré sont réparties dans les voies secondaire de baccalauréat (VSB), secondaire générale (VSG) et secondaire à options (VSO), selon l’art. 28 LS. La VSB prépare aux études gymnasiales conduisant au baccalauréat cantonal et à la maturité fédérale, ainsi qu’à l’entrée dans les formations professionnelles, notamment à celles préparant la maturité professionnelle (art. 37 al. 1 LS). Les conditions d’une promotion d’un degré à l’autre sont définies par le RLS (art. 29 LS). Un élève en échec redouble; des mesures d’appui ou des épreuves de rattrapage sont organisées pour éviter le redoublement (art. 29a LS).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La note</w:t>
      </w:r>
    </w:p>
    <w:p>
      <w:r>
        <w:rPr>
          <w:b/>
        </w:rPr>
        <w:t>E. 4</w:t>
      </w:r>
    </w:p>
    <w:p>
      <w:r>
        <w:t>Le recours doit ainsi être rejeté, et la décision attaquée confirmée. Eu égard à la situation des recourants, le Tribunal renonce exceptionnellement à mettre les frais de la procédure à leur charge (art. 50 LPA-VD). L’allocation de dépens n’entre pas en ligne de compte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