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GE.2010.0127 vom 10. August 2010</w:t>
      </w:r>
    </w:p>
    <w:p>
      <w:r>
        <w:t>VD Tribunal cantonal, 2010-08-10, FR</w:t>
      </w:r>
    </w:p>
    <w:p>
      <w:r>
        <w:rPr>
          <w:b/>
        </w:rPr>
        <w:t xml:space="preserve">Quelle: </w:t>
      </w:r>
      <w:r>
        <w:t>https://mcp.opencaselaw.ch/entscheid/vd_omni_GE.2010.0127</w:t>
      </w:r>
    </w:p>
    <w:p>
      <w:r>
        <w:t>FR: VD_OMNI GE.2010.0127 du 10 août 2010</w:t>
      </w:r>
    </w:p>
    <w:p>
      <w:r>
        <w:t>IT: VD_OMNI GE.2010.0127 del 10 agosto 2010</w:t>
      </w:r>
    </w:p>
    <w:p>
      <w:pPr>
        <w:pStyle w:val="Heading2"/>
      </w:pPr>
      <w:r>
        <w:t>Regeste</w:t>
      </w:r>
    </w:p>
    <w:p>
      <w:r>
        <w:t>AX.________, BX.________ c/Département de la formation, de la jeunesse et de la culture, Etablissement secondaire de Renens M. Y.________, Directeur, Service des écoles primaires et secondaires | Pas de dérogation au principe selon lequel les élèves fréquentent les classes au lieu de domicile des parents au motif que l'enfant souhaite demeurer avec des camarades et des enseignants qu'il connaît et apprécie.</w:t>
      </w:r>
    </w:p>
    <w:p>
      <w:pPr>
        <w:pStyle w:val="Heading2"/>
      </w:pPr>
      <w:r>
        <w:t>Erwägungen</w:t>
      </w:r>
    </w:p>
    <w:p>
      <w:r>
        <w:rPr>
          <w:b/>
        </w:rPr>
        <w:t>E. 1</w:t>
      </w:r>
    </w:p>
    <w:p>
      <w:r>
        <w:t>L’art. 13 de la loi scolaire du 12 juin 1984 (LS ; RSV 400.01) prévoient que les enfants fréquentent les classes de la commune, de l'établissement ou de l'arrondissement scolaire de domicile ou de résidence des parents. L’art. 14 al. 1 LS permet au département d'accorder des dérogations à ce principe de  territorialité, " notamment en cas de changement de domicile au cours de l’année scolaire, de manière à permettre à l'élève de terminer l'année dans la classe où il l'a commencée, ou en raison d’autres circonstances particulières appréciées par le département ." La jurisprudence rappelle régulièrement que lors des travaux préparatoires de l'actuelle loi scolaire, respectivement de l’art. 14 LS (BGC, septembre 1989,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(GE.2009.0062 du 28 juillet 2009; GE.2008.0165 du 3 octobre 2008; GE.2008.0125 du 29 juillet 2008; GE.2007.0094 du 22 août 2007; GE.2007.0124 du 27 septembre 2007; GE.1999.0027 du 10 juin 1999).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remplacé par la CDAP dès le 1 er janvier 2008, a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(GE.2007.0095 du 22 août 2007, GE.2007.0124, GE.2008.0125, GE.2008.0165, GE.2009.0062, déjà cités).</w:t>
      </w:r>
    </w:p>
    <w:p>
      <w:r>
        <w:rPr>
          <w:b/>
        </w:rPr>
        <w:t>E. 2</w:t>
      </w:r>
    </w:p>
    <w:p>
      <w:r>
        <w:t>En l'espèce, les recourants invoquent le caractère opportun, selon eux, d'un maintien de leur fille dans son environnement habituel pendant les deux dernières années de sa scolarité et le souci du bouleversement que causerait à leur fille un changement d'école. Ils ne font cependant valoir aucun motif qui commanderait de ne pas la séparer d'avec ses camarades de classe ou les enseignants qu'elle connaît et qu'elle apprécie. Or, le désagrément que comporte en soi un changement d'établissement scolaire et le souhait de l'enfant ne pas être séparé des camarades de classe connus de longue date et de ses enseignants habituels ne sauraient, comme la jurisprudence l'a rappelé à de nombreuses reprises, constituer un tel motif. En outre, le DFJP a mis en avant à juste titre qu'il restait suffisamment de temps à cette élève désormais autonome pour s'intégrer et se stabiliser dans son nouvel établissement scolaire et qu'elle pouvait être scolarisée dans de bonnes conditions - et en particulier sans problème d'effectifs - au lieu de domicile actuel de ses parents. En conséquence, l'autorité intimée n'a pas abusé de son pouvoir d'appréciation en considérant que la volonté des recourants de ménager leur fille en lui permettant de finir sa scolarité obligatoire à Lausanne ne constituait pas une circonstance particulière justifiant une dérogation au sens de l'art. 14 al. 1 LS.</w:t>
      </w:r>
    </w:p>
    <w:p>
      <w:r>
        <w:rPr>
          <w:b/>
        </w:rPr>
        <w:t>E. 3</w:t>
      </w:r>
    </w:p>
    <w:p>
      <w:r>
        <w:t>Vu ce qui précède, le recours est rejeté. La décision attaquée est confirmée. Un émolument judiciaire sera mis à la charge des recourants, qui succombent (art. 49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