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GE.2010.0085 vom 15. Februar 2011</w:t>
      </w:r>
    </w:p>
    <w:p>
      <w:r>
        <w:t>VD Tribunal cantonal, 2011-02-15, FR</w:t>
      </w:r>
    </w:p>
    <w:p>
      <w:r>
        <w:rPr>
          <w:b/>
        </w:rPr>
        <w:t xml:space="preserve">Quelle: </w:t>
      </w:r>
      <w:r>
        <w:t>https://mcp.opencaselaw.ch/entscheid/vd_omni_GE.2010.0085</w:t>
      </w:r>
    </w:p>
    <w:p>
      <w:r>
        <w:t>FR: VD_OMNI GE.2010.0085 du 15 février 2011</w:t>
      </w:r>
    </w:p>
    <w:p>
      <w:r>
        <w:t>IT: VD_OMNI GE.2010.0085 del 15 febbraio 2011</w:t>
      </w:r>
    </w:p>
    <w:p>
      <w:pPr>
        <w:pStyle w:val="Heading2"/>
      </w:pPr>
      <w:r>
        <w:t>Regeste</w:t>
      </w:r>
    </w:p>
    <w:p>
      <w:r>
        <w:t>X.________ c/Département de la sécurité et de l'environnement, Service de la consommation et des affaires vétérinaires | Confirmation de l'interdiction de détenir un chien potentiellement dangereux pour une durée indéterminée faite à la propriétaire d'un chien potentiellement dangereux qui a blessé au visage un bébé se trouvant dans sa poussette. Le fait que ce n'était pas elle qui promenait son chien au moment de l'incident ne s'oppose pas à ce qu'une sanction administrative soit prise à son égard, en tant que détentrice habituelle du chien. Elle n'a par ailleurs pas annoncé son chien auprès du département; elle ne remplit pas les conditions posées à la détention d'un chien potentiellement dangereux (elle n'a pas entièrement réussi avec son chien le TCOM et ne justifie pas d'une expérience cynologique suffisante); elle fait preuve d'un manque flagrant du sens des responsabilités s'agissant de la détention d'un chien potentiellement dangereux. Une telle mesure ne porte par ailleurs pas atteinte à sa liberté personnelle. Recours rejeté sur ce point.</w:t>
      </w:r>
    </w:p>
    <w:p>
      <w:pPr>
        <w:pStyle w:val="Heading2"/>
      </w:pPr>
      <w:r>
        <w:t>Erwägungen</w:t>
      </w:r>
    </w:p>
    <w:p>
      <w:r>
        <w:rPr>
          <w:b/>
        </w:rPr>
        <w:t>E. 1</w:t>
      </w:r>
    </w:p>
    <w:p>
      <w:r>
        <w:t>La recourante a requis différentes mesures d’instruction ainsi que la tenue d’une audience. Il n’a pas été donné suite à ces requêtes. Les éléments figurant au dossier de la cause suffisent à forger la conviction du tribunal. Les mesures d’instruction requises, ainsi que la tenue d’une audience n'apparaissent ni nécessaires ni utiles à l'établissement des faits pertinents pour l'issue du litige; elles ne pourraient amener la cour de céans à modifier son opinion (voir ATF 2A.5/2007 du 23 mars 2007 consid. 3.4; 130 II 425 consid. 2.1 p. 429 et les arrêts cités).</w:t>
      </w:r>
    </w:p>
    <w:p>
      <w:r>
        <w:rPr>
          <w:b/>
        </w:rPr>
        <w:t>E. 2</w:t>
      </w:r>
    </w:p>
    <w:p>
      <w:r>
        <w:t>La recourante estime que la décision attaquée procéderait d’une constatation inexacte ou incomplète des faits pertinents et d’une appréciation arbitraire des preuves. a) Aux termes de l’art. 98 al. 1 let. b de la loi du 28 octobre 2008 sur la procédure administrative ( LPA-VD; RSV 173.36 ) , le recourant peut invoquer la constatation inexacte ou incomplète des faits pertinents. Il y a arbitraire, prohibé par l'art. 9 de la Constitution fédérale de la Confédération suisse du 18 avril 1999 (Cst.; RS 101), lorsque la décision attaquée viole gravement une règle ou un principe juridique clair et indiscuté ou lorsqu'elle contredit d'une manière choquante le sentiment de la justice ou de l'équité. Par ailleurs, il ne suffit pas que les motifs de la décision attaquée soient insoutenables, encore faut-il que celle-ci soit arbitraire dans son résultat (ATF 134 I 263 consid. 3.1 pp. 265 s.; 5P.438/2006 du 17 janvier 2007 consid. 3.1). b) La recourante fait valoir ce grief en premier lieu s’agissant des circonstances ayant conduit au séquestre de « Baxxter » le 14 décembre 2009, soit cinq jours après l’incident lors duquel le chien a blessé l’enfant. Par décision du 14 décembre 2009, en application notamment de l’art. 26 de la loi vaudoise du 31 octobre 2006 sur la police des chiens (LPolC; RSV 133.75), le Vétérinaire cantonal a procédé au séquestre provisoire de « Baxxter » et ordonné l’examen de l’animal par la vétérinaire comportementaliste du SCAV. Dans le cadre du recours contre la décision du SCAV du 18 décembre 2009 interjeté par l’intéressée auprès de la cheffe du DSE, celle-ci a rendu, le 25 janvier 2010, une décision sur mesures provisionnelles rejetant la requête de mesure provisionnelles déposée par X.________ le 15 janvier 2010, confirmant ainsi le séquestre de « Baxxter » ; cette décision n’a pas été contestée. Il convient ainsi de relever que la décision de la cheffe du DSE du 25 janvier 2010 sur mesures provisionnelles, étant entrée en force, ne fait pas l’objet du présent recours. Il s’ensuit que n’ont pas à être examinées en l’espèce les circonstances dans lesquelles le séquestre de « Baxxter » a été prononcé. L’on peut de toute manière noter que, au vu des considérants qui suivent, un tel séquestre était tout à fait justifié. c) La recourante fait valoir le même grief en relation avec le fait que l’autorité intimée n’aurait pas tenu compte de nombre de points soulevés par le Vétérinaire cantonal dans ses déterminations du 5 mars 2010. L’on ne voit pas en quoi le fait de ne pas prendre en compte tous les éléments de ces déterminations procéderait d’une constatation inexacte ou incomplète des faits pertinents et d’une appréciation arbitraire des preuves. En effet, de telles déterminations, qui se basent sur les éléments du dossier à disposition de l’autorité de première instance, puis de l’autorité de recours, comprennent avant tout des éléments d’appréciation et non de fait, que la cheffe du DSE, dans le cadre du recours qui lui était soumis, avait toute liberté de faire siens ou non, conformément à l’art. 89 LPA-VD. Le fait que la cheffe du DSE n’ait pas tenu compte de la télécopie que lui avait spontanément envoyée le président de la SVPA le 21 avril 2010 et dont le contenu relève d’une opinion personnelle ne procède pas non plus d’une constatation inexacte ou incomplète des faits pertinents et d’une appréciation arbitraire des preuves. d) Quant au fond, l’on ne saurait plus particulièrement considérer que l’autorité intimée aurait établi les faits de manière inexacte s’agissant des blessures infligées à l’enfant BB.________. Au vu des pièces figurant au dossier, elle a en effet laissé ouverte la question de savoir si les blessures avaient été infligées par une griffure ou une morsure de « Baxxter ». De plus, même si les rapports médicaux présentent des différences, il n’en demeure pas moins que, ainsi que le relève la cheffe du DSE, l’enfant a subi des blessures proches de l’œil gauche, infectieuses, ayant nécessité plusieurs traitements sous anesthésie générale ainsi qu’une hospitalisation de plusieurs jours. Enfin, la recourante n’expose pas en quoi, s’agissant de son manque de maîtrise de « Baxxter », l’autorité intimée aurait procédé à une constatation inexacte et incomplète des faits pertinents ainsi qu’à une appréciation arbitraire des preuves. Sur ce point, elle se borne à critiquer le raisonnement juridique de l’autorité intimée, lorsque celle-ci considère qu’elle n’est pas capable de maîtriser son chien et que, notamment pour cette raison, l’euthanasie de « Baxxter » doit être prononcée et qu’il lui est interdit de détenir un chien potentiellement dangereux. e) Il résulte de ce qui précède que le grief de la recourante selon lequel la d¿ision attaquée procéderait d’une constatation inexacte ou incomplète des faits pertinents et d’une appréciation arbitraire des preuves n’est pas fondé.</w:t>
      </w:r>
    </w:p>
    <w:p>
      <w:r>
        <w:rPr>
          <w:b/>
        </w:rPr>
        <w:t>E. 3</w:t>
      </w:r>
    </w:p>
    <w:p>
      <w:r>
        <w:t>Il appartient au détenteur de fournir au service chargé des affaires vétérinaires (ci-après : le service) toute information permettant d’établir l’origine du chien, soit sa race et celle de ses géniteurs. » L’euthanasie apparaît comme la plus sévère des mesures mentionnées aux art. 26 et 28 LPolC (cf. à ce propos le commentaire des articles contenu dans les travaux préparatoires de la LPolC [Bulletin du Grand Conseil – BGC – août-septembre 2006, p. 2828] qui parle de « mesure la plus radicale pour le chien » ; voir également ATF 2P.52/2007 du 5 juillet 2007 consid. 5.3 qui qualifie l’euthanasie de « mesure ultime »). b) Selon le principe de l a proportionnalité, une mesure restrictive doit être apte à produire les résultats escomptés (règle de l’aptitude) , et ceux-ci ne doivent pas pouvoir être atteints par une mesure moins incisive (règle de la nécessité); le principe de la proportionnalité proscrit enfin toute restric tion allant au-delà du but visé : il exige un rapport raisonnable entre ce but et les intérêts publics ou privés compromis (principe de la proportionnalité au sens étroit, impliquant une pesée des intérêts en présence – AT F 135 I 169 consid. 5.6, 176 consid. 8.1; 134 I 214 consid. 5.7, 221 consid. 3.3, et les arrêts cités).</w:t>
      </w:r>
    </w:p>
    <w:p>
      <w:r>
        <w:rPr>
          <w:b/>
        </w:rPr>
        <w:t>E. 4</w:t>
      </w:r>
    </w:p>
    <w:p>
      <w:r>
        <w:t>a ) C’est en fonction des dispositions agressives des chiens en cause que les tribunaux se sont prononcés sur la question de leur euthanasie. Le Tribunal fédéral, rejetant le recours visant à la levée de l’effet suspensif refusé à une décision de faire euthanasier un chien, a ainsi estimé qu’il n’était en tout cas pas arbitraire de considérer qu’il existait un intérêt public important à exécuter une telle décision et que les chances de succès quant au fond apparaissaient très faibles. Le chien en question passait en effet pour avoir mordu plusieurs personnes et ne se laissait pas approcher sans présenter de signes d’agressivité, même par un expert en approche basse et après une heure de consultation. Le comportement général de l’animal était celui d’un chien vigilant et curieux, avec dans certaines situations de brefs moments de peur suivis de charges agressives en posture haute. La structure hiérarchique n’était pas claire, la bête n’obéissant que si elle le voulait bien (ATF 2C_356/2007 du 18 septembre 2007). Le Tribunal cantonal a pour sa part confirmé la décision d’euthanasier un chien qui avait agressé deux congénères et provoqué de sérieux dommages dans les deux cas. Il ressortait de l’expertise que les blessures infligées n’étaient pas adaptées à une simple remise à l’ordre, mais qu’elles trahissaient un manque d’inhibition à la morsure et que l’agression devait être qualifiée d’agression par irritation ; le Vétérinaire cantonal indiquait de plus que le comportement du chien était susceptible de se renforcer. Quant aux mesures à envisager pour éviter toute autre atteinte à la sécurité publique, il convenait de relever que les différentes mesures ordonnées par les autorités impliquées étaient restées sans effet (GE.2009.0224 du 16 décembre 2010 consid. 2 et 3). S’agissant d’un chien qui avait griffé au visage un enfant de dix-neuf mois et causé une blessure assez profonde, qui avait dû être suturée, le Tribunal fédéral n’a pas prononcé l’euthanasie de l’animal en question, mais a en revanche confirmé les mesures de sécurité ordonnées et le fait qu’un test de maîtrise soit passé avec le chien par les époux détenteurs de l’animal et par toute autre personne susceptible de le promener régulièrement. L’évaluation qui avait été effectuée sur le chien retenait que celui-ci était vif et assez brusque, même s’il ne manifestait pas de comportement agressif ; il avait fugué une fois détaché et sa maîtresse avait eu de la peine à le faire revenir. Les grands-parents de l’enfant avaient expliqué que le chien avait griffé l’enfant en tendant sa patte vers sa gamelle (ATF 2C_673/2009 du 19 avril 2010). b) Au vu des éléments du dossier, l’euthanasie représente en l’espèce une mesure disproportionnée. Un chien doit en effet être euthanasié « en cas de récidive ou de problèmes graves » (art. 26 al. 2 let. e LPolC). Il s’agit de la plus sévère des mesures d’intervention à disposition du SCAV, qui doivent être « graduées en fonction de l’ampleur des dispositions agressives » (art. 28 al. 1 let. e LPolC). Or, en l’espèce, les expertises et les rapports d’observation concordent sur ce point : « Baxxter » n’est pas un chien agressif. S’il se peut certes qu’il ait un fond anxieux, c’est au contraire un animal stable, équilibré et « extrêmement sociable (qui recherche le contact social et les interactions) vis-à-vis de l’humain » (expertise F.________, ch. 11, let. b, p. 7) ; il présente également une très bonne inhibition à la morsure (rapport d’observation du 21 avril 2010 et annexe 1 à l’expertise F.________, ch. 3, let. j). Le risque d’accident que présente « Baxxter » est ainsi « lié au fait [qu’il] a des lacunes en éducation, non au fait qu’il est agressif. C’est donc le risque d’accident par défaut de contrôle et non le risque d’accident par agression qui entre en ligne de compte » (expertise F.________, ch. 14, p. 10). Si « Baxxter » est laissé sans contrôle avec des enfants en bas âge, ce risque est jugé modéré. Il est « légèrement supérieur au risque que représente tout chien de près de 30 kilos avec des lacunes d’éducation » (ibid.). Un comportement d’agression ou de chasse à l’origine de l’incident du</w:t>
      </w:r>
    </w:p>
    <w:p>
      <w:r>
        <w:rPr>
          <w:b/>
        </w:rPr>
        <w:t>E. 9</w:t>
      </w:r>
    </w:p>
    <w:p>
      <w:r>
        <w:t>décembre 2009 a ainsi été raisonnablement considéré comme improbable, celui-ci découlant d’un manque d’éducation ou de contrôle de « Baxxter » par le détenteur. Dans son expertise (cf. ch. 12 et 14), la doctoresse F.________ indique certes qu’une fillette aurait été mordue alors que « Baxxter » avait environ un an. Ainsi que le note l’experte, très peu de précisions sont cependant apportées à cet incident ; on ignore ainsi tout des circonstances de cette morsure. Les vétérinaires comportementalistes s’entendent également pour dire que des mesures d’éducation et de contrôle du chien suffisent. A cet égard, l’on ne saurait craindre que « Baxxter » soit incorrigible. Selon le rapport d’observation du 21 avril 2010, « L’obéissance de base est bonne (chien de famille), pourrait être encore amélioré car ce chien est très attentif et présente un bon potentiel d’apprentissage ». Selon l’expertise F.________, « Le travail d’apprentissage pendant l’évaluation et les observations de l’autorité de dépôt (…) montrent que c’est un chien qui apprend rapidement et facilement » (ch. 11, let. a, p. 7). On peut ainsi considérer que le placement de « Baxxter » auprès d’une personne compétente permet de faire face au risque que représente l’animal en question et que l’euthanasie constitue une mesure disproportionnée. Il convient d’ailleurs de relever à ce propos qu’aucun des experts consultés n’a préconisé la mise à mort de « Baxxter ». La prise en compte par l’autorité intimée, dans l’examen du cas, des blessures infligées par « Baxxter » à l’enfant BB.________ n’apparaît en outre pas pertinente. Ces blessures se sont heureusement révélées beaucoup moins graves que pouvaient le laisser craindre, au début, l’infection et l’œdème qui leur étaient associés. Mais, surtout, la gravité des blessures ne serait en l’occurrence pertinente que si elle était révélatrice d’un comportement agressif du chien, ce qui n’est pas le cas s’agissant de « Baxxter ». Un animal peut malencontreusement provoquer une grave blessure sans qu’on puisse en déduire automatiquement qu’il est dangereux. c) Compte tenu notamment de la jurisprudence citée au consid. 4a, la mesure de placement telle qu’elle avait été préconisée par le SCAV est adéquate. Il découle en effet des différentes expertises que « Baxxter » ne saurait être considéré, au sens des art. 3 al. 2 et 18 al. 1 let. d LPolC, comme dangereux de sorte qu’il ne puisse être placé. d) La question peut enfin se poser de savoir si des mesures complémentaires au placement ne devraient pas être ordonnées. L’on peut citer à ce propos l’expertise de la doctoresse F.________ : « 13.       Compte tenu du niveau d’éducation canine apporté à Baxxter, quelle(s) mesure(s) aurai(en)t dû être prise(s) pour sa promenade (laisse longue/courte, muselière, seul ou en compagnie d’un seul ou plusieurs chiens, etc.) ? Baxxter est un chien relativement lourd (26kg800 aujourd’hui) qui tire à la laisse. Il est réactif vis-à-vis de certains mâles et ne revient pas toujours au rappel. Il aurait dû être promené seul ou avec un chien parfaitement contrôlé et calme. Au vu de ce qui a été observé et décrit quant au niveau de socialisation du chien vis-à-vis de l’humain, la muselière n’est pas indiquée. La longueur de la laisse est à adapter aux situations : un croisement sur un trottoir devrait se faire avec une laisse standard (environ 1m40) ; s’il n’y a pas suffisamment de place, le chien peut être tenu plus court ou on peut descendre du trottoir. Les distances de sécurité sont ainsi respectées. Toutefois, nous ne connaissons pas le niveau de socialisation de Baxxter vis-à-vis des enfants, ni ses réactions habituelles (voir annexe 4). Si elles étaient de l’ordre notamment de la peur (évitement, grognement, aboiements, hérissement de poils, …), une muselière aurait éventuellement été indiquée. Afin que cette question soit éclaircie, je poserais les questions de l’annexe 4 concernant les enfants à la propriétaire de Baxxter. » Il appartiendra néanmoins au SCAV de déterminer si des mesures complémentaires, telles que celles auxquelles se réfère la doctoresse F.________ dans son expertise, apparaissent justifiées en l’espèce. e) L’ensemble des éléments du dossier, en particulier le fait que « Baxxter » ne présente pas de comportement agressif et qu’il est susceptible d’être encore éduqué, ainsi que le relèvent les vétérinaires comportementalistes consultés, permettent de constater que la décision d’euthanasie prise l’autorité intimée est disproportionnée. Il se justifie ainsi de lever le séquestre de « Baxxter » et de confirmer la mesure de placement telle qu’elle avait été préconisée par le SCAV. Dans la mesure où elle ordonne l’euthanasie de « Baxxter », la décision attaquée ne peut en conséquence être maintenue. 5. La recourante conteste également l’interdiction qui lui est faite de détenir un chien potentiellement dangereux, faisant valoir qu’une telle interdiction violerait les principe de proportionnalité, de légalité et d’égalité de traitement ainsi que sa liberté personnelle. a) Outre les art. 3, 16, 26 et 28 LPolC et 2 RLPolC précités, l’on peut sur ce point citer les dispositions suivantes de la LPolC : « Art. 4               Détenteur de chien 1 Toute personne ayant la garde d’un chien est considéré comme détenteur. Art. 12                Autorisation de détention 1 La détention d’un chien potentiellement dangereux est soumise à autorisation du département en charge des affaires vétérinaires (ci-après : le département). 2 Le Conseil d’Etat fixe les conditions d’octroi de l’autorisation qui doivent notamment porter sur : -      les qualités et les connaissances canines du détenteur ; -      la provenance du chien et ses conditions de détention ; -      l’obligation de suivre régulièrement des cours d’éducation canine dès l’acquisition du chien. 3 Le détenteur d’un chien dangereux ou potentiellement dangereux ne peut détenir dans son ménage un autre chien, quelle que soit sa race, sa taille ou son poids, qu’avec l’autorisation du département. 4 Le département peut également assortir l’autorisation de charges particulières. Art. 29    Nouvelle acquisition 1 Toute personne, contre laquelle une interdiction de détenir un chien a été prononcée, et désirant acquérir un nouveau chien doit obtenir l’autorisation du service. 2 Cette autorisation est accordée aux conditions suivantes : a.         la réussite de l’examen prévu à l’article 31 ; b.         une évaluation positive établie par le service dans les 6 mois qui suivent l’acquisition d’un nouveau chien. 3 Si l’interdiction a été prononcée à titre définitif, la personne peut demander le réexamen de sa situation après un délai de 5 ans. Dans ce cas, les alinéas 1 et 2 sont applicables. Art. 36 Les détenteurs et propriétaires de chiens potentiellement dangereux ou dangereux disposent d’un délai de 6 mois pour annoncer leurs chiens auprès du département dès la date de parution de la liste dressée par le Conseil d’Etat conformément à l’article 3, alinea 1 de la présente loi. » Quant au RLPolC, l’on peut citer les dispositions suivantes : « Art. 9 RLPolC  (art. 12 LPolC) 1 L’octroi d’une autorisation pour détenir un chien potentiellement dangereux au sens de l’article 12 de la loi est soumis aux conditions suivantes : a.  le détenteur est majeur et n’a fait l’objet d’aucune sanction ou mesure administrative ou pénale relative aux animaux sur le territoire suisse ; b.  le détenteur n’est pas sous tutelle ou curatelle ; c.  le détenteur est titulaire nominativement d’une assurance RC ; d.  le détenteur n’a pas été condamné pénalement pour crime ou délit grave et produit à cet effet un extrait de son casier judiciaire ; e.  le détenteur ne laisse pas suspecter une utilisation dangereuse de son chien ; f.   le détenteur ne présente pas d’addiction à l’alcool, aux produits stupéfiants ou à tout autre produit altérant la conscience ; g.  le détenteur justifie d’une expérience cynologique suffisante ; h.  le détenteur a réussi avec son chien le test de conductibilité, d’obéissance et de maîtrise au sens de l’article 11 du présent règlement ; i.   le chien ne provient pas d’un élevage réputé dangereux ; j.   les conditions de détention fixées par la législation fédérale sur la protection des animaux sont remplies. 2 Le service peut vérifier les conditions de détention actuelles ou futures du chien. 3 Dans des cas dûment justifiés, le service peut alléger ces exigences. Art. 10                (art.</w:t>
      </w:r>
    </w:p>
    <w:p>
      <w:r>
        <w:rPr>
          <w:b/>
        </w:rPr>
        <w:t>E. 12</w:t>
      </w:r>
    </w:p>
    <w:p>
      <w:r>
        <w:t>LPolC) 1 L’autorisation peut être retirée en tout temps si les conditions liées à son octroi ne sont plus remplies. De surcroît, toute infraction à la loi, au présent règlement ou à la législation sur la protection des animaux peut également constituer un motif de retrait. Art. 18                (art. 28 LPolC) 1 L’interdiction de détention au sens de l’article 28, lettre b) de la loi, signifie que la détention d’un chien particulier, répondant à des critères définis par le service, notamment sa race, sa morphologie, son poids, son tempérament ou son caractère, peut être interdite. » b) Le Tribunal fédéral a confirmé une interdiction faite au propriétaire de deux chiens de détenir pour une durée indéterminée un chien d’une race dite d’attaque et pendant cinq ans un chien d’une autre race. Il a tenu compte du fait que les deux animaux en question, définis comme chiens dangereux, avaient échappé à l’intéressé à quatre reprises, causant chaque fois des dommages non négligeables à des personnes et des chiens et que, de plus, l’attitude du propriétaire, notamment sa propension à reporter sur les tiers ce qui était de sa responsabilité, faisaient de lui une personne qui n’était pas apte à détenir des chiens, en particulier des chiens dangereux (ATF 2P.52/2007 du 5 juillet 2007 consid. 5.1). Le Tribunal cantonal a également confirmé une interdiction faite à un recourant de détenir un chien potentiellement dangereux pendant une période de deux ans. Son chien avait en effet agressé deux congénères et provoqué de sérieux dommages dans les deux cas ; les agressions avaient été qualifiées d’agressions par irritation. L’intéressé n’était par ailleurs pas à même de détenir un tel chien, tant au vu de son incapacité physique à maîtriser l’animal, que de ses lacunes et son manque de volonté de l’éduquer en fonction des risques qu’un tel animal peut présenter. A cela s’ajoutait que le recourant n’avait pas jugé utile de suivre les injonctions des autorités, pourtant prononcées à plusieurs reprises sous menace des peines prévues par l’art. 292 CP (GE.2009.0224 du 16 décembre 2010 consid. 4). c) En l’occurrence, la recourante, propriétaire de « Baxxter », fait tout d’abord valoir qu’elle ne le détenait pas au moment de l’incident du 9 décembre 2009. Il n’en demeure pas moins qu’elle doit également en être considérée comme détentrice, et plus particulièrement comme détentrice habituelle, la détention d’un chien pouvant être partagée entre plusieurs personnes. Lors des travaux préparatoires, un député a ainsi qualifié le propriétaire d’un chien de « détenteur à long terme » (BGC septembre 2006 p. 3222). Un tel détenteur, comme tout détenteur, a ainsi des obligations, telles celle d’obtenir une autorisation de détention pour chiens potentiellement dangereux (art. 12 LPolC) et de garantir la sociabilisation et la maîtrise de son chien (art. 16 LPolC). Il s’ensuit que le fait que la recourante ne promenait pas « Baxxter » au moment où l’incident s’est produit ne saurait s’opposer à ce qu’une sanction administrative soit prise à son égard. d) Plusieurs éléments justifient le fait qu’une interdiction de détenir un chien potentiellement dangereux soit prononcée à l’encontre de la recourante. On peut tout d’abord constater que, contrairement à ce que prévoit l’art. 36 al. 1 LPolC, l’intéressée n’a pas annoncé son chien au DSE. Elle fait cependant valoir qu’elle se croyait légitimée à détenir un chien potentiellement dangereux dans la mesure où son chien avait été enregistré dans sa commune. L’art. 36 al. 1 LPolC prévoit néanmoins clairement que de tels chiens doivent être annoncés auprès du DSE par leurs détenteurs et propriétaires et la recourante ne saurait se prévaloir de son ignorance d’une obligation prévue par la LPolC. De plus, alors même que son ami, qui fait ménage commun avec elle, est propriétaire d’un chien de race Beagle croisé, dont elle est dès lors aussi détentrice, elle n’a pas non plus déposé une demande d’autorisation au sens de l’art. 12 al. 3 LPolC. La recourante ne remplit de toute manière pas les conditions posées pour détenir un chien potentiellement dangereux. Conformément aux art. 12 al. 2 LPolC et 9 al. 1 let. h RLPolC, le détenteur doit notamment avoir réussi avec son chien le TCOM. Or, tel n’est pas le cas en l’espèce, puisqu’après trois ans de détention de « Baxxter », elle n’a pas entièrement réussi ce test, effectué le 17 décembre 2009, le rappel de son chien ayant été considéré comme insuffisant par la vétérinaire comportementaliste du SCAV. La recourante fait à ce propos valoir que la manière dont le test a été conduit est constitutive d’une inégalité de traitement. Dès lors que l’interdiction de détenir un chien potentiellement dangereux se fonde également sur d’autres éléments et qu’il découle de l’ensemble du dossier que « Baxxter » est de toute manière un chien dont l’éducation est insuffisante, un tel grief est mal fondé. L’on peut en outre relever que l’intéressée, contrairement à ce que prévoient les art. 12 al. 2 LPolC, 9 al. 1 let. g et 10 RLPolC, ne justifie pas d’une expérience cynologique suffisante. Elle n’a ainsi suivi avec son chien que six mois de cours, de juin à décembre 2006, sans terminer de formation ni obtenir un permis adéquat puis l’a éduqué en autodidacte, ainsi qu’elle l’indique elle-même. Or, l’art. 10 RLPolC prévoit que le détenteur justifie d’une expérience cynologique suffisante s’il a fréquenté régulièrement et pour une durée minimale de deux ans en tant que détenteur habituel, avec le chien qui fait l’objet de la demande d’autorisation, des cours d’éducation canine agréés par le service (al. 1). La recourante ne remplit pas non plus les conditions fixées à l’al. 2 de cette même disposition. Si, comme elle le relève elle-même dans son recours, la mise en place de tels cours a pris un certain temps, il n’en demeure pas moins qu’une telle formation existe maintenant depuis le 1 er mai 2009 et que l’intéressée n’a pas indiqué avoir suivi un quelconque cours de ce type entre le 1 er mai et le 9 décembre 2009. Les expertises effectuées sur « Baxxter » démontrent d’ailleurs que ce chien a des lacunes dans son éducation. La doctoresse F.________ (cf. ch. 11, let. a de son expertise) estime qu’il y a eu probablement un manque de suivi dans le travail d’éducation de base, ce qui ressort aussi du questionnement de sa propriétaire. Elle note de plus que la réaction du chien lors de l’incident du 9 décembre 2009 relève probablement d’un manque d’éducation et/ou de contrôle (cf. ch. 12 de son expertise). A noter le fait que l’incident du 9 décembre 2009 ne serait pas le premier. Ainsi, une fillette aurait été mordue alors que « Baxxter » avait environ un an et des blessures ont été signalées par Z.________ sur ses chiens. Tout ceci démontre que la recourante fait preuve d’un manque flagrant du sens des responsabilités et ne se rend absolument pas compte des dangers qu’elle fait courir à la population et aux autres chiens en détenant un chien potentiellement dangereux, sans prendre les mesures nécessaires pour éviter tout risque, soit en particulier sans s’assurer que son chien reçoive une éducation adéquate et puisse ainsi être maîtrisé en tout temps. De par son comportement, elle a de la sorte violé l’art. 16 LPolC. Le manque sérieux du sens des responsabilités de la recourante se révèle aussi dans le fait qu’elle ne s’est pas souciée de savoir, même si Z.________ est titulaire d’un diplôme de moniteur (option molosses/sanitaire ) délivré par l’UCS et d’un brevet romand de gestionnaire canin délivré par la SVPA et l’UCS, si cette dernière disposait de l’autorisation, au sens de l’art. 12 LPolC, de détenir « Baxxter » et des compétences nécessaires pour le maîtriser, ce qui de fait n’était pas le cas. Lors de l’expertise du 17 décembre 2009, Z.________ n’a ainsi pas réussi l’exercice de rappel de manière satisfaisante. La recourante a même admis, dans son recours (p. 36), que cette dernière ne disposait vraisemblablement pas des connaissances cynologiques suffisantes. Elle ignorait même qu’en automne 2006, une mesure administrative avait été prononcée à l’encontre de Z.________, suite à la morsure causée à un vétérinaire par le Dobermann de celle-ci. Le dossier ne permet par ailleurs pas de déterminer si la recourante avait ou non donné des instructions particulières à Z.________ pour promener « Baxxter », les déclarations de ces dernières, en particulier à la Police cantonale le 4 février 2010, étant contradictoires sur ce point. Il découle de plus de son recours sa tendance à vouloir reporter sur Z.________ ce qui relevait de sa responsabilité, insistant en particulier sur le fait qu’au moment de l’incident, elle n’était pas présente. Sur la base de ce qui précède, l’on ne saurait enfin considérer que la recourante remplit les conditions posées dans son expertise par la doctoresse F.________ (cf. ch. 14) pour la détention de « Baxxter », à savoir : « Baxxter devrait être sous la garde d’une personne ayant une bonne expérience des chiens, consciente du risque représenté par chaque chien et par Baxxter en particulier, travaillant sur la base du renforcement positif, utilisant la punition de manière adéquate (c’est-à-dire modérément et de manière ciblée) et surtout ayant du temps à consacrer à ce chien qui a besoin de présence humaine et d’un rythme de vie régulier. Des cours d’éducation devraient être suivis, basés sur le renforcement positif. » Il s’ensuit que l’interdiction faite à la recourante de détenir un chien potentiellement dangereux ne porte pas atteinte au principe de proportionnalité. En effet, la sauvegarde de la sécurité publique justifie une telle mesure, prise en particulier sur la base de l’art. 28 LPolC, sachant que l’intéressée ne dispose pas de connaissances cynologiques suffisantes, ni d’un sens des responsabilités approprié à la détention d’un chien potentiellement dangereux. e) La recourante fait néanmoins valoir qu’une telle mesure porterait atteinte à sa liberté personnelle (art. 10 al. 2 Cst.). La question de savoir si et dans quelle mesure l’interdiction de détenir un chien tombe dans le champ d’application de ce droit fondamental comme élément indispensable à l’épanouissement de la personne humaine est demeurée indécise jusqu’à présent (ATF 133 I 249 consid. 2 ; 2P.221/2006 du 2 mars 2007 consid. 2 ; 132 I 7 consid. 3). Il sied de préciser qu’en principe la détention de chiens appartenant à une race déterminée n’entre pas dans le champ d’application de la liberté personnelle. Une atteinte à ce droit fondamental pourrait, le cas échéant, être admise lorsque le détenteur d’un chien est obligé de se séparer de son animal avec lequel il entretient une relation affective étroite ou lorsqu’un passionné de chiens se voit interdire de manière générale la détention d’un chien (ATF 133 I 249 consid. 2). En l’espèce, l’on ne saurait considérer qu’il y aurait atteinte à la liberté personnelle de la recourante. Celle-ci se voit en effet interdire de détenir un chien potentiellement dangereux, soit trois races de chiens seulement ; il lui est dès lors loisible de détenir tout autre type de chien. L’interdiction a de plus certes été prononcée pour une durée indéterminée ; l’art. 29 al. 3 LPolC permettra néanmoins à l’intéressée de demander le réexamen de sa situation après un délai de cinq ans. Elle ne fait enfin pas valoir avoir une relation affective avec « Baxxter » telle que le fait de s’en séparer pourrait constituer une atteinte à sa liberté personnelle. Si néanmoins tel devait être le cas, cette atteinte satisferait aux conditions posées par l’art. 36 Cst. ; elle repose sur une base légale, répond à un intérêt public et est proportionnée. f) Les éléments qui précèdent conduisent le tribunal de céans à confirmer l’interdiction qui a été faite à la recourante de détenir un chien potentiellement dangereux pour une durée indéterminée. Le grief de la recourante à ce propos doit de la sorte être considéré comme mal fondé. 6. Le recours doit ainsi être admis partiellement. Le chiffre II du dispositif de la décision attaquée est annulé en tant qu’il ordonne l’euthanasie de « Baxxter » et pour le reste réformé en ce sens que les chiffres 1 et 3 de la décision du Vétérinaire cantonal du 18 décembre 2009 sont confirmés, à savoir que le séquestre de « Baxxter » en faveur de la SVPA est levé et le replacement du chien autorisé aux conditions suivantes : • le futur détenteur devra impérativement être au bénéfice d’une bonne expérience cynologique. A cet égard et avant une éventuelle adoption, son dossier devra être soumis par la SVPA au SCAV afin d’être ratifié ; • le futur détenteur devra impérativement s’engager par écrit à suivre au minimum 100 heures de cours auprès d’un éducateur au bénéfice d’un profil 1+ (ou équivalent si détenteur domicilié en dehors du canton de Vaud), afin de pouvoir croiser des personnes, des enfants et des animaux avec un chien fixé sur son détenteur et obtenir un rappel optimal en toutes circonstances ; • le futur détenteur devra, s’il est domicilié dans le canton de Vaud, s’engager par écrit à se soumettre à un TCOM dans un délai de 60 jours suivant l’adoption du chien. La décision attaquée doit être pour le surplus maintenue. Dans la mesure où la recourante a obtenu partiellement gain de cause, des frais réduits seront mis à sa charge (art. 49 al. 1 LPA-VD) et des dépens réduits lui seront octroyés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