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GE.2009.0232 vom 22. März 2010</w:t>
      </w:r>
    </w:p>
    <w:p>
      <w:r>
        <w:t>VD Tribunal cantonal, 2010-03-22, FR</w:t>
      </w:r>
    </w:p>
    <w:p>
      <w:r>
        <w:rPr>
          <w:b/>
        </w:rPr>
        <w:t xml:space="preserve">Quelle: </w:t>
      </w:r>
      <w:r>
        <w:t>https://mcp.opencaselaw.ch/entscheid/vd_omni_GE.2009.0232</w:t>
      </w:r>
    </w:p>
    <w:p>
      <w:r>
        <w:t>FR: VD_OMNI GE.2009.0232 du 22 mars 2010</w:t>
      </w:r>
    </w:p>
    <w:p>
      <w:r>
        <w:t>IT: VD_OMNI GE.2009.0232 del 22 marzo 2010</w:t>
      </w:r>
    </w:p>
    <w:p>
      <w:pPr>
        <w:pStyle w:val="Heading2"/>
      </w:pPr>
      <w:r>
        <w:t>Regeste</w:t>
      </w:r>
    </w:p>
    <w:p>
      <w:r>
        <w:t>X._________, Y.________ c/Département de l'intérieur | Dans le cadre de la procédure préparatoire de son mariage avec une Suissesse, le fiancé, ressortissant irakien, a produit à deux reprises un acte de naissance établi en Irak. Ces documents se sont révélés être des faux. Le fiancé a ensuite présenté de nouveaux documents (certificat de nationalité, traduction de la carte d'identité), établis par l'Ambassade d'Irak à Berne. Il a toutefois refusé que ces pièces soient soumises à une nouvelle procédure d'authentification et requis la Direction de l'état-civil de mettre fin à la procédure préparatoire et de faire célébrer le mariage. Rejet du recours contre la décision négative de la Direction: sur la base des documents présentés, faute d'attestation de leur authenticité et de leur validité, il est impossible de s'assurer de l'identité, de la filiation et de la capacité matrimoniale du fiancé; en outre, les pièces fournies par l'entremise de la représentation irakienne en Suisse n'équivalent pas aux documents d'état-civil requis. Il est possible d'obtenir en Irak les pièces nécessaires, à condition de s'adresser à des personnes de confiance. Au surplus, pas de droit à l'égalité dans l'illégalité.</w:t>
      </w:r>
    </w:p>
    <w:p>
      <w:pPr>
        <w:pStyle w:val="Heading2"/>
      </w:pPr>
      <w:r>
        <w:t>Erwägungen</w:t>
      </w:r>
    </w:p>
    <w:p>
      <w:r>
        <w:rPr>
          <w:b/>
        </w:rPr>
        <w:t>E. 1</w:t>
      </w:r>
    </w:p>
    <w:p>
      <w:r>
        <w:t>a) Le mariage est célébré par l’officier de l'état civil au terme de la procédure préparatoire (art. 97 al. 1 du Code civil suisse du 10 décembre 1907 - CC; RS 210). Les fiancés établissent leur identité au moyen de documents et déclarent personnellement auprès de l'office de l'état civil qu'ils remplissent les conditions du mariage; ils produisent les consentements nécessaires (art. 98 al. 3 CC). A l'appui de leur demande d'exécution de la procédure préparatoire, les fiancés présentent un certificat relatif à leur domicile actuel,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ainsi que des documents relatifs à la naissance, au sexe, au nom et à la filiation des enfants communs, lorsque le lien de filiation n’a pas encore été enregistré dans le système ou que les données disponibles ne sont pas exactes, complètes ou conformes à l’état actuel (art. 64 al. 1 de l'ordonnance fédérale du 28 avril 2004 sur l'état civil - OEC; RS 211.112.2). L'office de l'état civil examine si la demande en exécution de la procédure préparatoire a été déposée régulièrement, si l'identité des fiancés est établie et si les conditions du mariage sont remplies (art. 99 al. 1 CC). L'art. 16 al. 1 let. b OEC précise que l'autorité de l'état civil s'assure de l'identité et de la capacité des personnes concernées. Celles-ci doivent produire les pièces requises, lesquelles ne doivent pas dater de plus de six mois. Si l'obtention de tels documents s'avère impossible ou ne peut manifestement être exigée, des documents plus anciens sont admis dans des cas fondés (art. 16 al. 2 OEC).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et 17 OEC). b) A deux reprises, les recourants ont produit l’acte de naissance de Y.________. Soumis à la procédure d’authentification, ces documents se sont révélés être des faux. Les recourants ne le contestent pas, au demeurant. Dans ces conditions, il était impossible à la Direction de s’assurer de l’identité, de la filiation et de la capacité matrimoniale de Y.________. La poursuite de la procédure préparatoire de mariage était exclue déjà pour ce motif. c) Selon les recourants, il serait superflu de soumettre à authentification les documents produits le 22 septembre 2009. Ils estiment que les documents obtenus auprès de l’Ambassade d’Irak à Berne, remis le 7 septembre 2009 à l’autorité intimée, devraient suffire pour que la preuve au sens de l’art. 41 CC soit rapportée. Cette thèse ne peut être partagée. Les pièces fournies par l’Ambassade d’Irak n’équivalent pas à des documents d’état-civil; elles n’ont pas de valeur probante s’agissant de la filiation et de la capacité matrimoniale de Y.________. Preuve en est que l’attestation établie le 28 août 2009 par cette représentation étrangère certifie tout au plus que Y.________ est un ressortissant irakien. En outre, alors que la Direction a requis la production des pièces originales transmises à l’Ambassade d’Irak, en vue de l’authentification de ces données, les recourants s’y sont opposés formellement, le 20 octobre 2009. On ne saurait donc dire que les données en questions ne sont pas litigieuses, comme l’exige l’art. 41 CC. Enfin, les recourants n’allèguent pas qu’il leur serait impossible d’obtenir des autorités irakiennes les documents nécessaires. Ils ont certes fait état des difficultés inhérentes à la vie dans ce pays troublé et à la désorganisation des autorités. Cela ne change rien au fait que, selon l’Ambassade de Suisse à Amman, il est possible de se procurer en Irak les documents nécessaires à un mariage en Suisse; encore faut-il se méfier de certains intermédiaires et confier cette tâche à des personnes de confiance (cf. arrêt GE.2009.0111 du 2 novembre 2009).</w:t>
      </w:r>
    </w:p>
    <w:p>
      <w:r>
        <w:rPr>
          <w:b/>
        </w:rPr>
        <w:t>E. 2</w:t>
      </w:r>
    </w:p>
    <w:p>
      <w:r>
        <w:t>Les recourants se prévalent de leur droit  de se marier, garanti notamment par l’art. 14 Cst. Ce droit n’est toutefois pas absolu; il peut être limité notamment par des règles de forme, destinées à s’assurer que les conditions de fond du mariage sont réunies. Il en va notamment ainsi de la preuve de l’identité, de la filiation et de la capacité matrimoniale des fiancés (ATF 113 II 1; arrêt GE.2008.0204 du 30 mars 2009).</w:t>
      </w:r>
    </w:p>
    <w:p>
      <w:r>
        <w:rPr>
          <w:b/>
        </w:rPr>
        <w:t>E. 3</w:t>
      </w:r>
    </w:p>
    <w:p>
      <w:r>
        <w:t>Sous l’angle de l’égalité de traitement, les recourants se prévalent du mariage célébré le 27 mars 2009 à Neuchâtel, entre le ressortissant irakien AZ.________ et la ressortissante italienne A.________. Ils ont requis la production du dossier de la procédure de mariage relatif à ces personnes.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 83/84; 134 I 23 consid. 9.1 p. 42/43, 257 consid. 3.1 p. 260/261, et les arrêts cités). Le principe de la légalité de l'activité administrative prévaut toutefois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392; 115 Ia 81 consid. 2 p. 82/83; 112 Ib 381 consid.</w:t>
      </w:r>
    </w:p>
    <w:p>
      <w:r>
        <w:rPr>
          <w:b/>
        </w:rPr>
        <w:t>E. 6</w:t>
      </w:r>
    </w:p>
    <w:p>
      <w:r>
        <w:t>p. 387; 110 II 398 consid. 2 p. 401, et les arrêts cités). b) Il n’est pas nécessaire de requérir, auprès des autorités neuchâteloises, le dossier de la procédure de mariage concernant les époux Z.________. En effet, même à supposer que la situation des deux personnes concernées (Y.________ et AZ.________) soit identique en ce sens que AZ.________ aurait, dans un premier temps, produit des documents falsifiés, puis ait été autorisé à se marier sur la base d’un acte de naissance délivré par l’Ambassade d’Irak en Suisse, ce fait ne serait pas déterminant, même s’il devait être considéré comme établi. Une telle situation, en effet, signifierait que l’autorité d’état-civil neuchâteloise aurait célébré le mariage des époux Z.________ en violation de l’art. 41 CC. Outre le fait qu’une telle hypothèse paraît improbable, cela ne conduirait pas à ce que l’autorité vaudoise soit obligée, dans des circonstances semblables, à s’écarter de la loi. L’argument tiré de l’égalité dans l’illégalité n’est de toute manière invocable qu’à l’égard de la même autorité, ce qui n’est pas le cas en l’espèce. 4. Le recours doit ainsi être rejeté, et la décision attaquée confirmée. Les frais sont mis à la charge des recourants; il n’y a pas lieu d’allouer des dépens (art. 49,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