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GE.2009.0225 vom 22. Februar 2010</w:t>
      </w:r>
    </w:p>
    <w:p>
      <w:r>
        <w:t>VD Tribunal cantonal, 2010-02-22, FR</w:t>
      </w:r>
    </w:p>
    <w:p>
      <w:r>
        <w:rPr>
          <w:b/>
        </w:rPr>
        <w:t xml:space="preserve">Quelle: </w:t>
      </w:r>
      <w:r>
        <w:t>https://mcp.opencaselaw.ch/entscheid/vd_omni_GE.2009.0225</w:t>
      </w:r>
    </w:p>
    <w:p>
      <w:r>
        <w:t>FR: VD_OMNI GE.2009.0225 du 22 février 2010</w:t>
      </w:r>
    </w:p>
    <w:p>
      <w:r>
        <w:t>IT: VD_OMNI GE.2009.0225 del 22 febbraio 2010</w:t>
      </w:r>
    </w:p>
    <w:p>
      <w:pPr>
        <w:pStyle w:val="Heading2"/>
      </w:pPr>
      <w:r>
        <w:t>Regeste</w:t>
      </w:r>
    </w:p>
    <w:p>
      <w:r>
        <w:t>X.________ c/Service des automobiles et de la navigation | C'est à juste titre que l'autorité intimée a requis la mise en oeuvre d'une expertise toxicologique et psychologique. Elle était partant en droit de mettre à la charge de la recourante les frais y relatifs.</w:t>
      </w:r>
    </w:p>
    <w:p>
      <w:pPr>
        <w:pStyle w:val="Heading2"/>
      </w:pPr>
      <w:r>
        <w:t>Erwägungen</w:t>
      </w:r>
    </w:p>
    <w:p>
      <w:r>
        <w:rPr>
          <w:b/>
        </w:rPr>
        <w:t>E. 1</w:t>
      </w:r>
    </w:p>
    <w:p>
      <w:r>
        <w:t>La recourante conteste en premier lieu les conditions auxquelles son droit de conduire a été subordonné. a) Selon l'art. 16 d al. 1 let. b de la loi fédérale du 19 décembre 1958 sur la circulation routière (LCR; RS 741.01),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L'art. 17 al. 3 LCR prévoit en outre que le permis d'élève conducteur ou le permis de conduire retiré pour une durée indéterminée peut être restitué à certains conditions après expiration d'un éventuel délai d'attente légal ou prescrit si la personne concernée peut prouver que son inaptitude à la conduite a disparu. b) En l'espèce, la recourante relève que les tests d'urine effectués par son médecin-traitant ont toujours été négatifs et qu'elle a dès lors démontré son abstinence vis-à-vis des substances susceptibles d'affecter son aptitude à la conduite telles que l'alprazolam. Elle conteste également le bien-fondé de la mise en œuvre de l'expertise toxicologique et psychologique. Or, l'UMTR a, dans son rapport d'expertise daté du 28 avril 2009, constaté une dépendance à l'alprazolam encore active en 2008. Elle a estimé qu'au vu de la personnalité de la recourante, la poursuite d'une abstinence du Xanax sur une certaine période semblait fortement conseillée. L'UMTR a encore décelé chez la recourante un trouble de l'adaptation se manifestant par une tendance à s'évader avec des médicaments plutôt que de se positionner par rapport à ses problèmes. Compte tenu de ces constatations, l'UMTR a préconisé de subordonner le maintien du droit de conduire à un contrôle clinique et biologique par dépistage urinaire de l'abstinence de benzodiazépines toutes les deux semaines au minimum pour une durée minimale de six mois avec un suivi parallèle par le médecin-traitant qui devrait attester de l'abstinence dans un rapport médical circonstancié au terme des six mois. La recourante n'apporte aucun élément propre à remettre en cause les conclusions de cette expertise et il n'appartient pas à la Cour de céans de substituer sa propre appréciation à celle des experts (cf. arrêt CR.2002.0133 du 21 août 2002; CR.2008.0307 du 3 février 2009). La décision attaquée qui reprend les conclusions de ces spécialistes est dès lors bien fondée.</w:t>
      </w:r>
    </w:p>
    <w:p>
      <w:r>
        <w:rPr>
          <w:b/>
        </w:rPr>
        <w:t>E. 2</w:t>
      </w:r>
    </w:p>
    <w:p>
      <w:r>
        <w:t>La recourante conteste en outre la mise à sa charge des frais de l'expertise de l'UMTR. a) L'art. 27 let. b du règlement du 7 juillet 2004 sur les émoluments perçus par la SAN (RE-SAN; RSV 741.15.1) prévoit que les frais d'expertises en relation avec les mesures administratives sont à la charge de l'administré. b) C'est à juste titre que l'autorité intimée a requis la mise en œuvre d'une expertise toxicologique et psychologique, laquelle a mis en exergue une dépendance à l'alprazolam encore active en 2008 et qui, au vu de la personnalité de la recourante, pourrait refaire surface. Les experts ont dès lors préconisé de subordonner le droit de conduire de la recourante à un contrôle de son abstinence. Par conséquent, la recourante considère à tort que la mise en œuvre de cette expertise ne s'imposait pas. Partant, et en application des règles susmentionnées, l'autorité intimée était en droit de mettre à sa charge les frais y relatifs.</w:t>
      </w:r>
    </w:p>
    <w:p>
      <w:r>
        <w:rPr>
          <w:b/>
        </w:rPr>
        <w:t>E. 3</w:t>
      </w:r>
    </w:p>
    <w:p>
      <w:r>
        <w:t>Il découle des considérations qui précèdent que le recours est mal fondé et doit être rejeté aux frais de la recourante qui n'a pas droit à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