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GE.2009.0215 vom 23. März 2011</w:t>
      </w:r>
    </w:p>
    <w:p>
      <w:r>
        <w:t>VD Tribunal cantonal, 2011-03-23, FR</w:t>
      </w:r>
    </w:p>
    <w:p>
      <w:r>
        <w:rPr>
          <w:b/>
        </w:rPr>
        <w:t xml:space="preserve">Quelle: </w:t>
      </w:r>
      <w:r>
        <w:t>https://mcp.opencaselaw.ch/entscheid/vd_omni_GE.2009.0215</w:t>
      </w:r>
    </w:p>
    <w:p>
      <w:r>
        <w:t>FR: VD_OMNI GE.2009.0215 du 23 mars 2011</w:t>
      </w:r>
    </w:p>
    <w:p>
      <w:r>
        <w:t>IT: VD_OMNI GE.2009.0215 del 23 marzo 2011</w:t>
      </w:r>
    </w:p>
    <w:p>
      <w:pPr>
        <w:pStyle w:val="Heading2"/>
      </w:pPr>
      <w:r>
        <w:t>Regeste</w:t>
      </w:r>
    </w:p>
    <w:p>
      <w:r>
        <w:t>X.________ c/Municipalité de Denges, Y.________ SA | Insérée dans le permis de construire comme une charge du propriétaire, l'obligation d'assumer les frais du contrôle du raccordement des eaux claires et usées au réseau communal des canalisations repose en fait directement sur le règlement sur les taxes communales en matière de police des constructions. La décision municipale ordonnant la perception de ces frais peut être portée devant la commission communale de recours en matière d'impôts. Le Tribunal cantonal n'est compétent qu'en seconde instance.</w:t>
      </w:r>
    </w:p>
    <w:p>
      <w:pPr>
        <w:pStyle w:val="Heading2"/>
      </w:pPr>
      <w:r>
        <w:t>Erwägungen</w:t>
      </w:r>
    </w:p>
    <w:p>
      <w:r>
        <w:rPr>
          <w:b/>
        </w:rPr>
        <w:t>E. 1</w:t>
      </w:r>
    </w:p>
    <w:p>
      <w:r>
        <w:t>L'obligation de faire contrôler par le bureau Biner &amp; Nicole SA à l'aide d'un colorant, une fois les travaux terminés, les raccordements des eaux claires et usées au réseau communal, aux frais du propriétaire, a été insérée comme charge dans le permis de construire délivré à la constructrice le 27 juin 2000. Le permis de construire peut être assorti de charges, pourvu que celles-ci se trouvent dans un rapport de connexité avec l’objet du permis (arrêt AC.2009.0035; cf. également arrêts AC.2007.0077 du 14 juillet 2008; AC.2007.0022 du 24 janvier 2008; AC.2007.0033 du 9 novembre 2007; AC.1998.0136 du 27 avril 2001). Ce régime demeure toutefois soumis au principe de la légalité; une autorité ne peut ainsi pas joindre à sa décision des clauses accessoires que la loi ne prévoit pas (Pierre Moor, Droit administratif, vol. II, 2 ème éd., p. 79). Lorsque la charge a pour but de préciser le contenu de l'obligation principale telle qu'elle est posée par la loi, il n'est cependant pas nécessaire que la base légale soit explicite (Moor, op. cit. p. 80). Autrement dit, une clause accessoire peut être introduite dans un acte afin qu'il satisfasse aux conditions légales, pour autant que cette clause serve à la réalisation des exigences posées par la loi (André Grisel, Traité de droit administratif I, 1984, p. 408 cité dans AC.1995.0105 du 18 décembre 1995). En l'espèce, l'autorité intimée fait valoir que, conformément aux art. 17 al. 3 et 104 al. 1 de la loi du 4 décembre 1985 sur l'aménagement du territoire et les constructions (LATC; RSV 700.11), au moment de délivrer le permis de construire, il lui appartient de vérifier que le projet qui lui est soumis est conforme aux lois et règlements applicables, et donc notamment à l'art. 17 de la loi fédérale du 24 janvier 1991 sur la protection des eaux (LEaux; RS 814.20) qui dispose: " Un permis de construire ou de transformer un bâtiment ne peut être délivré qu’aux conditions suivantes: a.  dans le périmètre des égouts publics, le déversement des eaux polluées dans les égouts (art. 11, al. 1) ou l’utilisation de ces eaux à des fins agricoles (art. 12, al. 4) sont garantis; b.  hors du périmètre des égouts publics, l’évacuation correcte des eaux polluées est assurée par un procédé spécial (art. 13, al. 1); le service cantonal de la protection des eaux doit avoir été consulté; c.  l’évacuation correcte des eaux qui ne se prêtent pas à un traitement dans une station centrale d’épuration est garantie (art. 12, al. 2) . " La municipalité ajoute que, selon les art. 27 de la loi du 17 septembre 1974 sur la protection des eaux contre la pollution (LPEP; RSV 814.31) et 10 REE, les embranchements reliant directement ou indirectement les bâtiments aux canalisations publiques appartiennent aux propriétaires intéressés. Ils sont construits et entretenus à leurs frais par une entreprise agréée par le département et sous le contrôle de la municipalité. Elle déduit de cette obligation le " devoir d'attester en fin de travaux de la bienfacture de ce raccordement au réseau public et d'en assumer les frais ". Elle précise qu'elle a quant à elle le devoir de surveiller la construction et l'entretien de ce raccordement (art. 27 LPEP al. 2 in fine et art. 10 et 18 al. 3 REE). Ce raisonnement ne saurait être suivi. En effet, aucune des dispositions citées ne prévoit que les frais engendrés par les contrôles des raccordements auxquels doit procéder la municipalité sont supportés par le propriétaire de la construction.</w:t>
      </w:r>
    </w:p>
    <w:p>
      <w:r>
        <w:rPr>
          <w:b/>
        </w:rPr>
        <w:t>E. 2</w:t>
      </w:r>
    </w:p>
    <w:p>
      <w:r>
        <w:t>L'art. 135 RPGA dispose cependant: " Les taxes pour permis de construire, permis d'habiter, d'occuper ou utiliser et autres, font l'objet de tarifs établis par la Municipalité. Ces tarifs sont adoptés par le Conseil communal et approuvés par le Conseil d'Etat. " Le règlement sur les taxes communales prévoit notamment que sont soumis à émolument " le contrôle des travaux et l'octroi du permis d'habiter " (art. 3 al. 3). Son art. 4 précise que l'émolument se compose d'une taxe fixe ou proportionnelle au coût de construction et du recouvrement des dépenses annexes honorées selon un tarif horaire défini à l'art. 13. Aux termes de cet article, selon le principe de la couverture des frais et lorsque l'étude d'un projet ou la surveillance de sa réalisation entraînent pour l'administration des dépenses annexes, leur recouvrement sera basé sur les frais effectifs, ou sur les tarifs horaires effectifs agrées par la municipalité pour les mandats attribués à l'année, ainsi qu'en fonction des heures effectuées par l'administration communale. Les frais de contrôle constituent ainsi une contribution causale, soit une taxe liée aux prestations particulières de l’administration (cf. arrêt FI.2005.0024 du 4 juin 2007, consid. 3, concernant la mise à la charge du constructeur des frais de géomètre nécessaires pour vérifier le caractère réglementaire d’un projet de construction). Ils font partie des taxes spéciales que l’art. 4 de la loi du 5 décembre 1956 sur les impôts communaux (LICom; RSV 650.11) permet aux communes de percevoir " en contrepartie de prestations ou avantages déterminés ou de dépenses particulières ". La charge imposée par le permis de construire ne fait ainsi que rappeler une obligation qui découle directement des dispositions susmentionnées.</w:t>
      </w:r>
    </w:p>
    <w:p>
      <w:r>
        <w:rPr>
          <w:b/>
        </w:rPr>
        <w:t>E. 3</w:t>
      </w:r>
    </w:p>
    <w:p>
      <w:r>
        <w:t>En ordonnant au recourant de s'acquitter d'une quote-part des frais de contrôle du raccordement de sa propriété aux canalisations publiques, l'autorité intimée a rendu une décision qui ne constitue pas une mesure d'exécution du permis de construire, mais repose directement sur le règlement sur les taxes communales en matière de police des constructions, plus particulièrement sur son art. 13. Conformément à l'art. 45 LICom et à l'art. 16 al. 1 du règlement communal précité, une telle décision peut être portée devant la commission communale de recours en matière d'impôts. L'art. 16 al. 2 du règlement précise que le prononcé de la commission peut être porté en seconde instance devant le Tribunal administratif (aujourd'hui Cour de droit administratif et public du Tribunal cantonal). En l'espèce, la Commission communale de recours en matière d'impôts de Denges n'a pas été saisie, la décision rendue par la municipalité ayant, conformément à l'indication erronée qu'elle contenait, fait directement l'objet d'un recours devant la cour de céans. Selon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Le présent recours doit dès lors être déclaré irrecevable et la cause transmise à la Commission communale de recours en matière d'impôt de Denges pour qu'elle se prononce sur les arguments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