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GE.2009.0209 vom 13. April 2010</w:t>
      </w:r>
    </w:p>
    <w:p>
      <w:r>
        <w:t>VD Tribunal cantonal, 2010-04-13, FR</w:t>
      </w:r>
    </w:p>
    <w:p>
      <w:r>
        <w:rPr>
          <w:b/>
        </w:rPr>
        <w:t xml:space="preserve">Quelle: </w:t>
      </w:r>
      <w:r>
        <w:t>https://mcp.opencaselaw.ch/entscheid/vd_omni_GE.2009.0209</w:t>
      </w:r>
    </w:p>
    <w:p>
      <w:r>
        <w:t>FR: VD_OMNI GE.2009.0209 du 13 avril 2010</w:t>
      </w:r>
    </w:p>
    <w:p>
      <w:r>
        <w:t>IT: VD_OMNI GE.2009.0209 del 13 aprile 2010</w:t>
      </w:r>
    </w:p>
    <w:p>
      <w:pPr>
        <w:pStyle w:val="Heading2"/>
      </w:pPr>
      <w:r>
        <w:t>Regeste</w:t>
      </w:r>
    </w:p>
    <w:p>
      <w:r>
        <w:t>X.________ c/Direction générale de l'enseignement postobligatoire | Refus de délivrer une autorisation pour former une apprentie en informatique au titulaire d'un diplôme d'ingénieur mathématicien qui exploite un bureau d'informatique. Les conditions de la législation fédérale ne sont en l'espèce pas toutes remplies. Le plan de formation produit par le recourant n'est pas structuré et ne correspond pas à celui de l'ordonnance sur la formation professionnelle initiale informaticienne/informaticien. L'apprentie ne travaillerait pas auprès du formateur, mais au help-desk de l'un de ses clients. En outre, l'activité professionnelle de l'entreprise requérante ne couvre pas tous les domaines de la formation,</w:t>
      </w:r>
    </w:p>
    <w:p>
      <w:pPr>
        <w:pStyle w:val="Heading2"/>
      </w:pPr>
      <w:r>
        <w:t>Erwägungen</w:t>
      </w:r>
    </w:p>
    <w:p>
      <w:r>
        <w:rPr>
          <w:b/>
        </w:rPr>
        <w:t>E. 1</w:t>
      </w:r>
    </w:p>
    <w:p>
      <w:r>
        <w:t>La décision objet du recours refusant d'accorder à l'entreprise une autorisation de former a été rendue par la Direction générale de l'enseignement postobligatoire (DGEP), représentée par son directeur général adjoint, N.________, dans le cadre d'une délégation de compétence qui lui a été conférée par le département. En effet, comme l'a rappelé le Tribunal fédéral, aux termes de l'art. 67 de la loi vaudoise du 11 février 1970 sur l'organisation du Conseil d'Etat (LOCE; RSV 172.115), un chef de département peut, avec l'approbation du Conseil d'Etat, déléguer à un fonctionnaire supérieur certaines compétences dans des domaines déterminés (al. 1), la chancellerie d'Etat tenant un registre de ces délégations de compétence (al. 2). Le Tribunal fédéral a en outre précisé qu'il ressortait de la liste des délégations du département à la Direction du 14 février 2006 que la compétence de retirer l'autorisation de former des apprentis avait été déléguée au directeur général de l'enseignement postobligatoire et au directeur général adjoint en charge de la formation professionnelle. Cette liste avait été approuvée lors de la séance du Conseil d'Etat du canton de Vaud du 8 mars 2006, au cours de laquelle il avait également été décidé de faire inscrire les délégations, par la Chancellerie d'Etat, au registre des délégations de compétence (arrêt 2C_103/2008 du 30 juin 2008 consid. 3.2 et 3.4; GE.2007.0082 du 21 décembre 2007 consid. 3c et 3d). La décision de l'autorité intimée ayant été rendue sur la base d'une délégation de compétence, elle doit être assimilée à une décision rendue par la cheffe du département. En tant que telle, elle ne pouvait pas être attaquée par la voie du recours au chef du département (art. 101 LVLFPr), mais pouvait faire l'objet d'un recours au Tribunal cantonal, conformément à l'art. 105 LVLFPr qui renvoie à la loi du 28 octobre 2008 sur la procédure administrative (LPA-VD; RSV 173.36). Formé dans le délai légal, le recours est recevable en la forme et il convient d'entrer en matière sur le fond.</w:t>
      </w:r>
    </w:p>
    <w:p>
      <w:r>
        <w:rPr>
          <w:b/>
        </w:rPr>
        <w:t>E. 2</w:t>
      </w:r>
    </w:p>
    <w:p>
      <w:r>
        <w:t>a) En vertu de l'art. 20 al. 2 de la loi fédérale du 13 décembre 2002 sur la formation professionnelle (LFPr; RS 412.10), les prestataires de la formation à la pratique professionnelle doivent avoir obtenu l'autorisation du canton de former des apprentis. Selon l'art. 24 LFPr, les cantons veillent à assurer la surveillance de la formation professionnelle initiale (al. 1); l'encadrement et l'accompagnement des parties aux contrats d'apprentissage font partie de la surveillance (al. 2), tout comme la qualité de la formation à la pratique professionnelle et le respect des dispositions légales du contrat d'apprentissage (al. 3 let. a et d). A cet égard, l'art. 11 al. 1 de l'ordonnance du 19 novembre 2003 sur la formation professionnelle (OFPr, RS 412.101) dispose que l'autorité cantonale refuse de délivrer une autorisation de former ou, une fois délivrée, la retire si la formation à la pratique professionnelle est insuffisante, si les formateurs ne remplissent pas ou plus les exigences légales ou s'ils contreviennent à leurs obligations. Dans le canton de Vaud, l'application de la législation fédérale sur la formation professionnelle est régie par la loi du 9 juin 2009 sur la formation professionnelle (LVLFPr; RSV 413.01), entrée en vigueur le 1 er août 2009, qui abroge celle du 19 septembre 1990 (aLVLFPr). En vertu de l'art. 4 al. 1 LVLFPr, la formation professionnelle relève du département en charge de la formation professionnelle, à savoir le DFJC (ci-après : le département); sauf dispositions contraires de la dite loi, le département accomplit les tâches attribuées par le droit fédéral à l'autorité cantonale. L'art. 4 al. 2 LVLFPr précise que le département exerce ses compétences et tâches par l'intermédiaire du service en charge de la formation professionnelle [le DGEP]. En application de l'art. 24 LFPr, le département assure la surveillance des formations initiales (art. 87 al. 1 LVLFPr). L'art. 15 LVLFPr dispose que toute entreprise ou réseau d'entreprises ou d'institutions formatrices doit être au bénéfice d'une autorisation de former délivrée par le département (al. 1). Chaque formation prévue par le droit fédéral requiert une autorisation spécifique (al. 2). Aux termes de l'art. 16 al. 1 LVLFPr, l'autorisation est octroyée à l'entreprise ou au réseau qui en fait la requête auprès du département si le formateur désigné remplit les conditions de la législation fédérale (let. a), si les conditions de formation sont adéquates, en particulier, si elles respectent la législation sur le travail (let. b), si l'ordonnance fédérale sur la formation professionnelle concernée est respectée, en particulier si l'activité professionnelle de l'entreprise ou du réseau couvre tous les domaines de la formation (let. c). L'art. 21 LVLFPr prévoit que l'entreprise soumet le contrat d'apprentissage signé par les parties à l'approbation du département dans le délai fixé par le règlement (al. 1). Le département donne son approbation notamment si l'entreprise ou le réseau auquel elle appartient est au bénéfice d'une autorisation de former dont il remplit encore les conditions au moment de la demande d'approbation (let. a) et si la formation se déroule dans des conditions adéquates, en particulier quant au lieu de travail de la personne à former (let. b), si le contrat respecte les normes du contrat d'apprentissage et, le cas échéant, la convention collective de travail applicable (let. c) (al. 3). Aux termes de l'art. 23 LVLFPr, le département peut révoquer son approbation et annuler le contrat si la formation est compromise. L'art. 90 LVLRPr dispose que le département nomme, sur préavis de la Commission de formation professionnelle compétente, un ou plusieurs commissaires professionnels par profession ou par domaine professionnel (al. 1). Les commissaires professionnels sont en principe engagés par les organisations du monde du travail subventionnées à cette fin, à un taux d'activité de 20 % au moins et de 80 % au plus (al. 2). Le commissaire professionnel a pour tâche de contrôler la qualité de la formation à la pratique professionnelle en entreprise (let. a), instruire sur l'octroi et le retrait de l'autorisation de former (let. b), préaviser sur l'octroi de l'autorisation de former (let. c), veiller à ce que les conditions d'octroi de l'autorisation de former accordée à une entreprise formatrice, en application de l'art. 15 de la présente loi, sont en tout temps respectées (let. d), collaborer avec le conseiller aux apprentis dans la recherche d'une autre formation professionnelle initiale ou d'un autre lieu de formation conformément à l'art. 93 al. 3 let. b de la présente loi (let. e) et contrôler la qualité des cours interentreprises (let. f). b) Faute pour les dispositions topiques (art. 61 LFPr et 101 à 105 LVLFPr) d'étendre le pouvoir d'examen de l'autorité de recours à l'opportunité en matière d'autorisations de former des apprentis, le tribunal n'exerce qu'un contrôle de la légalité, c'est-à-dire examine si la décision entreprise est contraire à une disposition légale ou réglementaire expresse ou relève d'un excès ou d'un abus du pouvoir d'appréciation (v. notamment arrêt GE.2008.0032 du 28 octobre 2008 consid. a/aa et l'arrêt cité PE.2007.0496 du 2 juillet 2008).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Pour évaluer l'aptitude à former des apprentis dans un domaine particulier, en l'espèce l'informatique, le tribunal fera preuve de retenue, dès lors que cet examen suppose des connaissances techniques, ce que les commissaires professionnels sont en principe mieux à même d'apprécier que l'autorité judiciaire (v. par analogie arrêt GE.2009.0069 du 15 juillet 2009 consid. 3b en matière d'orientation scolaire et les arrêts cités). c) L'art. 3 al. 1 de l'ordonnance du 13 décembre 2004 sur la formation professionnelle initiale d'informaticienne/informaticien (RS 412.101.220.010) fait référence au plan modulaire élaboré par la Coopérative Formation professionnelle informatique (I-CH). Intitulé "Plan de formation à l'appui de l'ordonnance sur la formation professionnelle initiale informaticienne/informaticien" et daté du 13 décembre 2004, ce plan modulaire  décrit en détail les exigences et les objectifs liés à la formation en question. Il est divisé en quatre parties (compétences opérationnelles, objectifs de formation et orientations, procédure de qualification et organisation des cours interentreprises).</w:t>
      </w:r>
    </w:p>
    <w:p>
      <w:r>
        <w:rPr>
          <w:b/>
        </w:rPr>
        <w:t>E. 3</w:t>
      </w:r>
    </w:p>
    <w:p>
      <w:r>
        <w:t>En l'espèce, il est établi que le recourant ne dispose pas des locaux et de l'infrastructure nécessaires à l'accueil d'un apprenti. A cet égard, il a été relevé par une commissaire professionnelle qu'un apprenti médiamaticien était logé dans un bureau manifestement trop petit (1 m x 1 m) (v. courriel de Z.________ du 4 septembre 2008). Lors de sa visite dans les locaux de l'entreprise, le commissaire C.________ a aussi constaté que l'environnement " au sein de son magasin " n'était pas adapté. Le recourant semble d'ailleurs admettre l'inadéquation de ses locaux, puisqu'il prévoit de placer l'apprentie pendant toute la durée de sa formation, soit quatre ans, dans les locaux, au helpdesk, de l'un de ses plus gros clients à 2********. Etant donné que l'entreprise, qui se présente selon les constatations du commissaire plutôt comme un magasin et non comme des bureaux, n'est pas en mesure d'offrir une place de travail convenable à son apprenti, l'autorisation sollicitée pourrait déjà être refusée pour ce motif (v. art. 21 al. 3 let. b LVLFPr). Il pourrait certes, à titre exceptionnel être admis qu'un apprenti effectue une partie de son apprentissage dans d'autres locaux que son maître d'apprentissage, mais il faudrait à tout le moins qu'il soit régulièrement suivi par celui à qui incombe la responsabilité du bon déroulement de la formation, à savoir le maître d'apprentissage. Or, tel ne peut manifestement pas être le cas en l'occurrence, notamment en raison de la distance qui sépare les deux entreprises (3******** et 2********). Au surplus, même avec des apprentis sur place auprès de l'entreprise, de graves lacunes avaient été constatées, parmi lesquelles les absences du maître d'apprentissage, son manque d'organisation, voire son désordre (non paiement de salaires, d'assurances maladie, etc. et incapacité de fournir des documents tels que fiches de salaires, décomptes AVS-AI, etc.). On ne peut dès lors se fier aux assurances données par le recourant lorsqu'il dit que l'apprentie sera encadrée en permanence, soit par lui-même, soit par l'un de ses collaborateurs travaillant à temps partiel – O.________ – ou encore par un autre collaborateur, P.________ (v. ch. 12 du mémoire de recours du 30 novembre 2009 et courriel de l'entreprise à Q.________ du 8 septembre 2009). Il convient aussi de relever que le recourant n'a jamais suivi les cours de formation pour maîtres d'apprentissage, alors qu'il avait expressément été enjoint à le faire par lettre du 27 août 2004 de la DGEP, et cela dans un délai de deux ans au plus tard à partir du début du contrat de son premier apprenti. Or, cinq ans et demi plus tard, l'intéressé n'a toujours pas suivi les cours en question et son engagement à les suivre n'est pas convaincant. De surcroît, sur neuf apprentis ayant entamé une formation auprès de l'entreprise, seuls deux, voire trois selon le recourant, y ont terminé leur apprentissage par l'obtention d'un certificat.</w:t>
      </w:r>
    </w:p>
    <w:p>
      <w:r>
        <w:rPr>
          <w:b/>
        </w:rPr>
        <w:t>E. 4</w:t>
      </w:r>
    </w:p>
    <w:p>
      <w:r>
        <w:t>S'agissant des points sur lesquels porte la formation, le recourant s'est expliqué dans un document de deux pages produit pour la première fois en annexe aux pièces qui accompagnaient le mémoire de recours du 30 novembre 2009. Contrairement à ce qu'affirme le recourant, ce document n'a pas été transmis avant la date précitée au commissaire en charge du dossier, qui n'a donc pas pu se déterminer au préalable. Il ressort de cette pièce que l'activité prévue pour l'apprentie consiste pour l'essentiel en installations et surtout en dépannages. Le programme de formation n'est pas structuré et ne correspond en rien au plan de formation qui complète l'ordonnance sur la formation professionnelle initiale informaticienne/informaticien. Comme l'a d'ailleurs relevé le commissaire professionnel dans ses déterminations du 14 décembre 2009, après avoir pris connaissance du document en question, le plan de travail présenté est incomplet, les explications sont sommaires et partent dans tous les sens. Le programme serait en outre lacunaire sur un certain nombre de points (protection de l'environnement, sécurité au travail et premier secours, techniques de mesure et de contrôle, méthodes, moyens auxiliaires et documents, utilisation de l'informatique, adaptation de composants matériel et du logiciel, travaux d'entretien et de protection des données, établissement d'un cahier des charges, planification et exécution des travaux). Les explications données par le recourant dans ses observations du 15 février 2010, en réponse aux critiques du commissaire,  n'emportent pas la conviction du tribunal. S'agissant de la protection de l'environnement (ch. 1), elle ne saurait se limiter au tri des déchets. Pour ce qui est des techniques de mesure et de contrôle (ch. 2), le recourant relève certes que son entreprise et celle de son client disposent d'outils ou d'appareils de mesure, sans préciser en quoi consisterait la formation de l'apprentie. Les méthodes, moyens auxiliaires et la documentation (ch. 3) mentionnés par l'entreprise sont des documents destinés à la clientèle, mais ne sont pas des documents adaptés spécifiquement à la formation censée être dispensée à l'apprentie. Enfin, pour l'utilisation de l'informatique (ch. 4), les travaux d'entretien et la protection des données (ch. 5) et l'établissement d'un cahier des charges, la planification et l'exécution des travaux (ch. 6), le recourant se contente de faire référence à son activité auprès de ses clients, qui devrait en quelque sorte permettre à l'apprentie de se former. Ce type de formation, qu'on peut qualifier de formation "sur le tas", si elle peut s'avérer utile et complémentaire, est toutefois insuffisante pour assurer à l'apprenti une formation complète, telle que définie dans le plan de formation modulaire déjà cité. L'activité professionnelle de l'entreprise ou du réseau ne couvrant pas tous les domaines de la formation (art. 16 al. 1 let c LVLFPr), les conditions donnant droit à l'octroi d'une autorisation de former des apprentis ne sont pas remplies. Au regard de l'ensemble des circonstances évoquées, il convient d'admettre que l'autorité n'a pas abusé de son pouvoir d'appréciation en refusant de délivrer à l'entreprise l'autorisation de former une apprentie et en rejetant la demande de dommages et intérêts formée au nom de l'apprentie. A noter que la Cour de céans n'est pas compétente pour statuer sur une éventuelle demande en dommages-intérêts. Les conclusions y relatives sont donc irrecevables.</w:t>
      </w:r>
    </w:p>
    <w:p>
      <w:r>
        <w:rPr>
          <w:b/>
        </w:rPr>
        <w:t>E. 5</w:t>
      </w:r>
    </w:p>
    <w:p>
      <w:r>
        <w:t>Il résulte des considérants qui précèdent que le recours doit être rejeté dans la mesure où il est recevable et la décision de l'autorité intimée maintenue. Un émolument de justice est mis à la charge du recourant, qui n'a pas droit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