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GE.2009.0119 vom 18. September 2009</w:t>
      </w:r>
    </w:p>
    <w:p>
      <w:r>
        <w:t>VD Tribunal cantonal, 2009-09-18, FR</w:t>
      </w:r>
    </w:p>
    <w:p>
      <w:r>
        <w:rPr>
          <w:b/>
        </w:rPr>
        <w:t xml:space="preserve">Quelle: </w:t>
      </w:r>
      <w:r>
        <w:t>https://mcp.opencaselaw.ch/entscheid/vd_omni_GE.2009.0119</w:t>
      </w:r>
    </w:p>
    <w:p>
      <w:r>
        <w:t>FR: VD_OMNI GE.2009.0119 du 18 septembre 2009</w:t>
      </w:r>
    </w:p>
    <w:p>
      <w:r>
        <w:t>IT: VD_OMNI GE.2009.0119 del 18 settembre 2009</w:t>
      </w:r>
    </w:p>
    <w:p>
      <w:pPr>
        <w:pStyle w:val="Heading2"/>
      </w:pPr>
      <w:r>
        <w:t>Regeste</w:t>
      </w:r>
    </w:p>
    <w:p>
      <w:r>
        <w:t>X.________ c/Département de la formation, de la jeunesse et de la culture | Le fait qu'une crèche sur le territoire de la Commune de Pully peut prendre en charge de manière extra scolaire un enfant au cours de sa 1ère année du cycle initial ne justifie pas une dérogation à l'enclassement au lieu de domicile à Lausanne, ce d'autant plus qu'in casu, une crèche au lieu de domicile est susceptible de prendre en charge l'enfant quatre jours sur cinq et que les parents, dont le lieu de domicile se confond avec le lieu de travail, doivent pouvoir s'organiser pour accueillir leur enfant ce jour-là. Le fait qu'un frère cadet ne puisse être accueilli que très partiellement dans la crèche de domicile ne fonde pas plus un motif de dérogation. Le principe de célérité consacré par l'art. 29 Cst. n'est pas respecté dès lors que la décision - fondée sur un état de fait très simple - a été rendue six mois après la demande et deux mois seulement avant la nouvelle année scolaire ce qui rendait difficile qu'un éventuel recours puisse être jugé en temps utile. Ce retard injustifié n'entraîne cependant pas la nullité de la décision attaquée.</w:t>
      </w:r>
    </w:p>
    <w:p>
      <w:pPr>
        <w:pStyle w:val="Heading2"/>
      </w:pPr>
      <w:r>
        <w:t>Erwägungen</w:t>
      </w:r>
    </w:p>
    <w:p>
      <w:r>
        <w:rPr>
          <w:b/>
        </w:rPr>
        <w:t>E. 1</w:t>
      </w:r>
    </w:p>
    <w:p>
      <w:r>
        <w:t>Aux termes de l'art. 92 al. 1 de la loi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ce qui est le cas en l’espèce. Le tribunal de céans est ainsi matériellement compétent pour se saisir du présent recours. Déposé en temps utile, le recours satisfait par ailleurs aux autres exigences de forme, de sorte qu'il y a lieu d'entrer en matière sur le fond.</w:t>
      </w:r>
    </w:p>
    <w:p>
      <w:r>
        <w:rPr>
          <w:b/>
        </w:rPr>
        <w:t>E. 2</w:t>
      </w:r>
    </w:p>
    <w:p>
      <w:r>
        <w:t>En dehors des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LPA-VD). La loi scolaire du 12 juin 1984 (LS; RSV 400.01)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Les recourants se plaignent de la lenteur de la procédure administrative. Ils relèvent avoir déposé leur demande de dérogation en janvier 2009 déjà, n’avoir reçu un accusé de réception qu’en mai 2009, après une intervention de leur part, pour recevoir finalement une réponse en juin 2009. a) L’art. 29 al. 1 Cst. qui dispose que toute personne a droit, dans une procédure judiciaire ou administrative, à ce que sa cause soit traitée équitablement et jugée dans un délai raisonnable, consacre le principe de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142 consid. 2c, 119 Ib 323 s. consid. 5).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130 I 332 consid. 5.2, 124 I 142 consid. 2c).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333 consid. 5.3, 129 V 417 consid. 1.3. et les références). b) En l’occurrence, le laps de temps entre la requête et la décision paraît manifestement excessif compte tenu de la simplicité de l’affaire qui ne nécessitait pas d’instruction particulière ; il apparaît ainsi choquant qu’une décision n’ait été rendue qu’au mois de juin 2009, six mois après la demande et deux mois seulement avant la nouvelle année scolaire, ce qui rendait notamment très difficile qu’un éventuel recours puisse être jugé en temps utile (soit avant la rentrée scolaire). Cela étant, ce retard injustifié ne saurait entraîner l’annulation de la décision attaquée.</w:t>
      </w:r>
    </w:p>
    <w:p>
      <w:r>
        <w:rPr>
          <w:b/>
        </w:rPr>
        <w:t>E. 4</w:t>
      </w:r>
    </w:p>
    <w:p>
      <w:r>
        <w:t>L’art. 13 LS consacre le principe de territorialité à la base de l’organisation scolaire cantonale. Il dispose que les enfants fréquentent les classes de la commune, de l'établissement ou de l'arrondissement scolaire de domicile ou de résidence des parents. Le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(not. arrêt GE.2008.0165 du 3 octobre 2008). L’art. 14 permet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 a)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(v.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1P.342/2005 du 20 octobre 2005, consid. 5). Toutefois, les dispositions exceptionnelles ne doivent être interprétées ni restrictivement, ni extensivement, mais selon leur sens et leur but dans le cadre de la réglementation générale (ATF 118 Ia 179 consid. 2d; 114 V 302 c. 3e).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1P.181/1997 du 23 juin 1997, consid. 4a).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références citées). b) Lors des travaux préparatoires de l'actuelle loi scolaire respectivement de l’art. 14 LS (BGC, septembre 1989,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avait été rappelé que le département avait toujours eu une politique restrictive dans le domaine de ces transferts ou changements de domicile et que cette politique allait être poursuivie, le but de l'art. 14 LS n'étant nullement de désorganiser les classes (GE.2008.0165 précité).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(arrêt GE.1999.0027 du 10 juin 1999, consid. 5). Il a également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(GE.2007.0095 du 10 août 2007).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(arrêt GE.2007.0094 du 22 août 2007). Quant à la volonté des parents de scolariser leur enfant en langue allemande, dans une école d'une commune sise à proximité de leur domicile, mais hors du canton de Vaud, il a été jugé qu'il ne s'agissait pas d'une circonstance particulière permettant d'accorder une dérogation à l'“enclassement” au sens de l'art. 14 al. 1 er in fine LS (arrêt GE.2007.0124 du 27 septembre 2007). La CDAP a jugé que le fait qu’un enfant avait suivi de 2006 à 2008 sa scolarité à Morges plutôt qu’à St-Prex sur la base d’une première dérogation, qu’il avait des activités extra scolaires à Morges et Lausanne, villes mieux desservies en terme de transports, et que les parents exerçaient une activité lucrative à Ecublens et Lully ne justifiait pas l’octroi d’une nouvelle dérogation, quand bien même un « enclassement » à St-Prex impliquait des trajets supplémentaires pour les parents, l’économie de trajets relevant de motifs de convenance personnelle. Dans cette affaire, a de même été jugé irrelevant le fait que, pour se rendre au collège de St-Prex les parents devaient, en raison de la densité du trafic au débouché de l’accès à leur maison, se diriger tout d’abord dans le sens opposé au collège pour atteindre un giratoire situé à plusieurs kilomètres à l’entrée de Morges avant de repartir dans l’autre sens. A cet égard, le tribunal a relevé que de nombreux enfants du canton habitent en des lieux riverains d’un trafic important et qu’en pareil cas, il importe à leurs parents de prendre toutes dispositions utiles pour que leurs enfants rejoignent l’école de leur domicile en toute sécurité. Enfin, le fait que les deux autres enfants des recourants avaient bénéficié de dérogations ne justifiait pas l’application du principe de l’égalité de traitement, ceci quand bien même la situation des différents enfants apparaissait semblable (GE.2008.0165 du 3 octobre 2008 précité).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l’avait accueilli jusqu’ici (GE.2009.0062 du 28 juillet 2009). Dans une situation très particulière et se démarquant des précédents ci-dessus, le Tribunal administratif avait accueilli le recours formé contre le refus du DFJ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avait estimé que la situation justifiait le maintien de l’”enclassement” de cet élève au lieu de son ancien domicile, où vivait sa grand-mère, ce qui lui permettait de se rendre chez celle-ci à midi et le soir jusqu'à 18 h 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(arrêt GE.2008.0125 du 29 juillet 2008).</w:t>
      </w:r>
    </w:p>
    <w:p>
      <w:r>
        <w:rPr>
          <w:b/>
        </w:rPr>
        <w:t>E. 5</w:t>
      </w:r>
    </w:p>
    <w:p>
      <w:r>
        <w:t>En l’espèce, les recourants se prévalent du fait que leur fils est actuellement pris en charge par la crèche « Y.________» à 2******** et que cette prise en charge perdurera en 1 ère année CIN. Ces motifs, ne diffèrent pas de ceux évoqués et écartés dans la jurisprudence précitée en particulier l’arrêt GE.1999.0027 du 10 juin 1999. Au demeurant, un grand nombre de parents sont confrontés à des problèmes de prise en charge extra scolaire lesquels ne justifient pas, à moins d’une situation tout à fait exceptionnelle, de déroger au principe de territorialité.  Or, les recourants n’invoquent pas une situation qui sortirait de l’ordinaire. La crèche « A.________» a par ailleurs confirmé que CX.________ pouvait être pris en charge toute la semaine, à l’exception du repas du jeudi. Or, il devrait être possible aux recourants de s’organiser pour s’occuper de leur enfant ce jour-là, ce d’autant plus que leur lieu de travail se confond apparemment avec leur domicile (en tous les cas pour ce qui est du travail de bureau). Certes, son frère DX.________ ne peut être reçu dans la crèche « A.________» que très partiellement. Il n’est cependant pas extraordinaire d’avoir deux enfants accueillis dans des établissements différents, cette situation n’étant au demeurant acquise que pour l’année scolaire 2009-2010. Au surplus, comme l’a relevé l’autorité intimée, il existe d’autres structures d’accueil en ville de 1********.</w:t>
      </w:r>
    </w:p>
    <w:p>
      <w:r>
        <w:rPr>
          <w:b/>
        </w:rPr>
        <w:t>E. 6</w:t>
      </w:r>
    </w:p>
    <w:p>
      <w:r>
        <w:t>Les considérants qui précèdent conduisent au rejet du recours et à la confirmation de la décision entreprise. Un émolument de justice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