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GE.2009.0113 vom 22. Februar 2011</w:t>
      </w:r>
    </w:p>
    <w:p>
      <w:r>
        <w:t>VD Tribunal cantonal, 2011-02-22, FR</w:t>
      </w:r>
    </w:p>
    <w:p>
      <w:r>
        <w:rPr>
          <w:b/>
        </w:rPr>
        <w:t xml:space="preserve">Quelle: </w:t>
      </w:r>
      <w:r>
        <w:t>https://mcp.opencaselaw.ch/entscheid/vd_omni_GE.2009.0113</w:t>
      </w:r>
    </w:p>
    <w:p>
      <w:r>
        <w:t>FR: VD_OMNI GE.2009.0113 du 22 février 2011</w:t>
      </w:r>
    </w:p>
    <w:p>
      <w:r>
        <w:t>IT: VD_OMNI GE.2009.0113 del 22 febbraio 2011</w:t>
      </w:r>
    </w:p>
    <w:p>
      <w:pPr>
        <w:pStyle w:val="Heading2"/>
      </w:pPr>
      <w:r>
        <w:t>Regeste</w:t>
      </w:r>
    </w:p>
    <w:p>
      <w:r>
        <w:t>X.________ c/ Département de l'intérieur | Indemnisation du dommage matériel: situation sous l'ancienne loi sur l'aide aux victimes d'infractions et selon le nouveau droit. Question laissée ouverte: les frais de transport engendrés par un traitement ne constituent pas un dommage matériel mais suivent le sort des frais de traitement. L'indemnité LAVI comprend l'intérêt compensatoire. La réparation morale accordée au titre de l'aide aux victimes d'infractions n'atteint pas sans autre le même montant que celle du droit civil (ici 8'000 fr.). Indemnité augmentée à 4000 (au lieu de 2500) francs allouée à un gendarme mordu à l'annulaire droit lors d'une intervention, partiellement amputé et définitivement handicapé par la persistance de douleurs au moment de l'appui et des troubles de la sensibilité. Le risque inhérent à la profession de gendarme n'est pas un facteur de réduction comme celui qu'on pourrait opposer à celui qui s'expose à un danger avec légèreté.</w:t>
      </w:r>
    </w:p>
    <w:p>
      <w:pPr>
        <w:pStyle w:val="Heading2"/>
      </w:pPr>
      <w:r>
        <w:t>Erwägungen</w:t>
      </w:r>
    </w:p>
    <w:p>
      <w:r>
        <w:rPr>
          <w:b/>
        </w:rPr>
        <w:t>E. 1</w:t>
      </w:r>
    </w:p>
    <w:p>
      <w:r>
        <w:t>La loi fédérale du 23 mars 2007 sur l'aide aux victimes d'infractions (LAVI; RS 312.5) est entrée en vigueur le 1er janvier 2009. En vertu de l'art. 48 LAVI, le droit d'obtenir une indemnité pour des faits qui se sont déroulés avant l'entrée en vigueur de la loi sont régis par l'ancien droit (let. a ). Il en va de même des demandes de contribution aux frais qui sont pendantes à l'entrée en vigueur de la nouvelle loi. La présente cause doit par conséquent être examinée sous l'angle de la loi fédérale du 4 octobre 1991 sur l'aide aux victimes d'infractions (aLAVI; RO 1992 2465 et les modifications ultérieures).</w:t>
      </w:r>
    </w:p>
    <w:p>
      <w:r>
        <w:rPr>
          <w:b/>
        </w:rPr>
        <w:t>E. 2</w:t>
      </w:r>
    </w:p>
    <w:p>
      <w:r>
        <w:t>L'art. 1 al. 2 aLAVI prévoit que l'aide fournie aux victimes d'infractions comprend : a) des conseils b) la protection de la victime et la défense de ses droits dans la procédure pénale ; c) l'indemnisation et la réparation morale. Est en cause en l'espèce la lettre c ci-dessus, à savoir l'indemnisation réclamée par le recourant pour ses frais de déplacement pour se rendre à diverses consultations médicales et séances d'ergothérapie, ainsi que l'octroi d'une réparation morale, à quoi s'ajoute la prétention du recourant à des intérêts moratoires pour ces postes. La qualité de victime du recourant et le principe de l'indemnisation ne sont pas contestés.</w:t>
      </w:r>
    </w:p>
    <w:p>
      <w:r>
        <w:rPr>
          <w:b/>
        </w:rPr>
        <w:t>E. 2.3</w:t>
      </w:r>
    </w:p>
    <w:p>
      <w:r>
        <w:t>p. 315; ATF 128 II 49 consid. 4.3 p. 55; ATF 125 II 169 consid. 2b/bb p. 174; Converset, op. cit., p. 261; Peter Gomm/Peter Stein/Dominik Zehntner, Kommentar zum Opferhilfegesetz, Berne 1995, n. 26 ad art. 12 aLAVI, pp. 184 s.).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(FF 1990 II 924; ATF 124 II 8 consid. 3d/bb p. 14/15).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(ci-après: l’IPAI), ce n'est pas seulement le critère objectivement mesurable (p. ex. une invalidité médico-théorique) qui est décisif; il s’agit d’évaluer le préjudice immatériel subi (Peter Gomm/Dominik Zehntner, Opferhilfegesetz, Berne 2009, ad art. 23 LAVI n° 5,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(Klaus Hütte/Petra Ducksch/Kayum Guerrero, Die Genugtuung, 3 ème édition, Zurich/Bâle/Genève 2005, n. 3.2 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(v. Cédric Mizel, La qualité de victime LAVI et la mesure actuelle des droits qui en découlent, in JT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v. également Franz Werro, in Commentaire romand, Code des obligations I, Bâle 2003, n° 22 ad art. 47 CO, p. 340). cc)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Le Tribunal fédéral considère que l’IPAI ne constitue qu’un élément de référence qui peut avoir un poids différent en fonction d’autres critères d’appréciation déterminants tels que la culpabilité de l’auteur de l’infraction ou les conséquences de celle-ci pour la victime. Les tabelles éditées par la Caisse nationale suisse d’assurance (ci-après: la SUVA) relatives à une telle indemnité (Annexe 3 de l’ordonnance du 20 décembre 1982 sur l’assurance-accidents [OLAA ; RS 832.202]) ne constituent pas des règles de droit et ne lient pas les tribunaux, mais peuvent représenter un point de repère pour l’évaluation de la gravité objective du préjudice immatériel (ATF 132 II 117 consid. 2.2.3 p. 120/121; Gomm/Zehntner, op. cit., n° 5 ad art. 23 LAVI, p. 183; Converset, op. cit., p. 280). La jurisprudence fédérale est constante, notamment quant au principe selon lequel la réparation morale accordée au titre de l'aide aux victimes d'infractions n'atteint pas sans autre le même montant que celle du droit civil, mais peut cas échéant s'en écarter voire être supprimée (ATF 1C_412/2010 du 20 janvier 2011, consid 4.1) Dans l'arrêt cité GE.2009.0206 qui concernait la directrice d'une bijouterie victime d'une tentative de brigandage après avoir été surprise à son domicile privé, puis contrainte de demeurer une heure aux côtés d'un des auteurs munis d'un couteau, d'où état de stress post-traumatique mais sans incapacité de travail, la Cour de droit administratif et public a établi un catalogue casuistique détaillé. Ce catalogue, plus précis que le récent Guide relatif à la fixation du montant de la réparation morale à titre d’aide aux victimes d’infractions à l'intention des autorités cantonales en charge de l’octroi de la réparation morale à titre de LAVI, élaboré en octobre 2008 par l'Office fédéral de la justice (http://www.ejpd.admin.ch/content/dam/data/gesellschaft/opferhilfe/leitf-genugtuung-ohg-f.pdf), est reproduit ci-dessous (GE.2009.0206 du 17 février 2010, consid. 5b ss): " b) En second lieu, l’autorité intimée a refusé d’allouer à la recourante une quelconque indemnité au titre de réparation du tort moral subi. Celle-ci prétend à l’allocation à ce titre du montant de 15'000 fr. qui lui a été alloué par le Tribunal correctionnel. aa)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  En outre, s 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En l'espèce, le recourant a subi une amputation de la partie distale de la face palmaire de la pulpe de l'annulaire droit et une incapacité de travail temporaire. Il conservera après trois opérations un moignon hypersensible. Selon le certificat médical du 8 décembre 2006 figurant au dossier, il lui sera difficile de reprendre ses activités sportives et il aura des difficultés également dans sa vie professionnelle (travail de bureau seulement). Le tribunal a fait actualiser les données ressortant du dossier. Il résulte du certificat médical du 3 février 2011 cité plus haut que même s'il a pu développer certains mécanismes d'adaptation qui lui permettent de poursuivre ses activités professionnelles et sportives, le recourant est définitivement handicapé par la persistance de douleurs au moment de l'appui et des troubles de la sensibilité. Dans l'appréciation de la réparation morale, il y a lieu de tenir compte du fait que la profession du recourant implique, contrairement aux activités de bureau par exemple, une disponibilité physique complète, si bien que le handicap dont il souffre perturbe aussi bien son activité professionnelle que ses activités sportives privées. Contrairement à ce que pense l'autorité intimée, qui déclare tenir compte de l'acceptation par le recourant des risques inhérents à la profession de gendarmes, il n'y a pas là de facteur de réduction tel qu'on pourrait peut-être en opposer à celui qui s'expose sciemment et avec légèreté à une situation dangereuse (voir dans le même sens les arrêts GE.2009.0082, GE.2009.0085, GE.2009.0087 et GE.2009.0089 du 31 août 2010 qui retiennent qu'il ne se justifie pas de réduire la réparation morale allouée à la victime de violences et de sévices sexuels sous prétexte que les prostituées sont exposées à des risques spécifiques). En définitive, si l'on confronte l'indemnité de 2'500 fr. allouée par la décision attaquée à la casuistique reproduite plus haut, on constate qu'elle ne s'y intègre pas: en particulier, une indemnité de 3'000 fr. a été régulièrement allouée à des victimes de lésions corporelles qui, contrairement au recourant, n'ont pas subi d'atteinte durable à leur intégrité physique. Même s'il n'est pas aussi lourd que dans les cas où une indemnité de 5000 ou 10 000 fr. a été allouée, le handicap permanent du recourant justifie une réparation supérieure à celle que l'autorité intimée a décidé d'allouer. Il y a donc lieu de réformer la décision attaquée en ce sens que l'indemnité est portée à 4000 fr.</w:t>
      </w:r>
    </w:p>
    <w:p>
      <w:r>
        <w:rPr>
          <w:b/>
        </w:rPr>
        <w:t>E. 3</w:t>
      </w:r>
    </w:p>
    <w:p>
      <w:r>
        <w:t>Le Conseil fédéral fixe les montants maximums et minimums des indemnités. Il peut édicter d'autres prescriptions relatives au calcul du montant de l'indemnité. Comme le Tribunal fédéral l'a rappelé récemment (1C_264/2009 du 9 octobre 2009, consid. 6.2, appliquant l'ancienne aLAVI), la notion de dommage en matière de loi sur l'aide aux victimes d'infractions correspond en principe à celle du droit de la responsabilité civile (ATF 133 II 361 consid. 4 p. 363 et les références). Il ressort de la formulation de l'art. 12 al. 1 aLAVI (indemnisation de la victime "pour le dommage qu'elle a subi") que seul un dommage qui se trouve en relation de causalité adéquate avec l'infraction est de nature à justifier l'octroi d'une indemnité au titre de la LAVI (arrêts du Tribunal fédéral 1A.168/2002 du 14 janvier 2003 consid. 2.3; 1A.252/2000 du 8 décembre 2000, consid. 2b paru à la ZBl 2001 p. 488 et les références citées). Le Tribunal fédéral a jugé (1A.168/2002 du 14 janvier 2003 consid. 2.5.1) que sous réserve de la couverture des frais de procédure, l'aide financière accordée à la victime au titre de la LAVI ne couvre pas de dommages autres que ceux découlant du droit de la responsabilité civile de l'auteur de l'infraction. Elle n'entre donc pas en ligne de compte si l'une des conditions de la responsabilité au sens de l'art. 41 CO fait défaut. Pour que le lésé puisse demander des dommages-intérêts, il faut que l'atteinte à l'intégrité physique ou psychique ait entraîné un dommage économique. Le lésé doit s'être trouvé dans l'incapacité d'effectuer un travail ayant une valeur économique, la perte de gain résultant de l'incapacité de travail temporaire. En soi, la lésion corporelle ne constitue pas encore un dommage. Seules les conséquences économiques négatives que subit le lésé par suite de la lésion doivent être indemnisées, tels que les frais médicaux ou la perte de gain (ATF 127 III 403 consid. 4a p. 405; et la doctrine citée).</w:t>
      </w:r>
    </w:p>
    <w:p>
      <w:r>
        <w:rPr>
          <w:b/>
        </w:rPr>
        <w:t>E. 4</w:t>
      </w:r>
    </w:p>
    <w:p>
      <w:r>
        <w:t>Le litige porte notamment sur l'indemnisation des frais de transport du recourant. Il s'agit de trajets qu'il a accomplis pour se rendre aux consultations médicales et d'ergothérapie. Leur montant, qui résulte d'un décompte versé au dossier de l'autorité intimée, n'est pas contesté. L'autorité intimée ne prétend pas non plus que ces frais auraient été inutiles, par exemple parce que le recourant aurait pu se déplacer à pied puisqu'il était blessé à la main seulement. Selon la décision attaquée, il s'agirait d'un dommage matériel indirect non couvert pas la LAVI. L'autorité fonde cette position sur la première édition du commentaire de la LAVI (Gomm/Stein/Zehnter, Kommentar zum Opferhilfegesetz, Berne 1995, n. 4 à 9 ad art. 13 LAVI), , ainsi que sur le ch. 5.3 (selon la référence rectifiée dans ses déterminations du 10 août 2009) des Recommandations 2002 de la Conférence suisse des offices de liaison LAVI  et sur une décision d'une autorité neuchâteloise. (voir http://www.sodk.ch/fileadmin/user_upload/Fachbereiche/Opferhilfe/2002_Empfehlungen_zur_Anwendung_des_OHG_f.pdf pour les recommandations citées) La décision neuchâteloise (RJN 2001, p. 225) invoquée par l'autorité intimée, n'émane pas d'une autorité judiciaire mais du Département des Finances et de l'action sociale de ce canton. Elle mentionne, comme exemples de dommage matériel non couvert, les vêtements déchirés lors d'un brigandage ou le vase brisé lors d'un cambriolage; elle expose par ailleurs que les frais d'avocat ne seraient pas couverts. Sur ce dernier point, on peut signaler au passage que le principe de l'indemnisation de la victime pour ses frais d'avocat, les questions concernant les rapports de subsidiarité entre l'assistance judiciaire, l'art. 3 al. 4 aLAVI et les art. 11 ss aLAVI ainsi que le tarif à appliquer aux honoraires d'avocat réclamés, ont fait l'objet d'une jurisprudence complexe et difficile à suivre (le considérant 6 de l'ATF 1C_10/2007 du 12 juillet 2007, non publié au recueil officiel ATF 133 II 361, indique que l'ATF 131 II 121 a suscité une confusion que divers arrêts ultérieurs ont dû rectifier, voir par exemple 1C_227/2007 du</w:t>
      </w:r>
    </w:p>
    <w:p>
      <w:r>
        <w:rPr>
          <w:b/>
        </w:rPr>
        <w:t>E. 7</w:t>
      </w:r>
    </w:p>
    <w:p>
      <w:r>
        <w:t>Pour ce qui concerne la réparation morale, le recourant conteste le montant de 2500 fr. qui lui a été alloué par l'autorité intimée alors que le juge pénal avait mis la somme de 8'000 fr. à la charge de l'auteur. La décision attaquée rappelle l'incapacité de travail et les opérations subies par le recourant et fixe l'indemnité de 2'500 fr. après une comparaison avec quelques cas jugés par diverses autorités cantonales. La Cour de droit administratif et public a rappelé l'état du droit et de la jurisprudence dans un récent arrêt qu'il convient de citer ci-dessous (GE.2009.0206 du 17 février 2010, consid. 4b): "b) Le juge peut, en tenant compte de circonstances particulières, allouer à la victime de lésions corporelles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p. 36; 125 III 269 consid. 2a p. 273; 118 II 410 consid. 2a p. 413 et les arrêts cités). L'aLAVI ne contient aucune disposition sur la détermination de l’indemnité prévue à l’art. 12 al. 2.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p. 373). Selon la jurisprudence, l'autorité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(ATF 129 II 312 consid. 2 p. 314 ss, notamment consid. 2.8 p. 317). aa) La définition de l'art. 12 al. 2 aLAVI correspond dans une large mesure aux critères prévus aux art. 47 et 49 CO, qui précisent à quelles conditions l'auteur d'un acte illicite est tenu de s'acquitter d'une réparation morale en faveur de la victime. En effet, l'exigence de la gravité de l'atteinte et de circonstances particulières figure aussi aux art. 47 et 49 CO. Selon la jurisprudence, il convient dès lors d’appliquer par analogie les principes que comportent ces dispositions, en tenant cependant compte du fait que le système d’indemnisation du dommage et du tort moral prévu par l’aLAVI répond à l’idée d’une prestation d’assistance et non pas à celle d’une responsabilité de l’Etat (ATF 132 II 117 consid. 2.2.4 p. 121; 1C_182/2007 du 28 novembre 2007 consid. 4 ; 1A.228/2004 du 3 août 2005 consid. 10.2; ATF 128 II 49 consid. 4.1 p. 53;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cf. ATF 1C_182/2007 du 28 novembre 2007 consid. 4; 1A.228/2004 du 3 août 2005 consid. 10.2; 1A.235/2000 du 21 février 2001 consid. 3a).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(ATF 129 II 312 consid. 2.3 p. 315; Stéphanie Converset, Aide aux victimes d’infractions et réparation du dommage, Genève/Zurich/Bâle 2009, p. 262 ). Le refus d’une réparation peut aussi se justifier par des considérations d’équité. Le large pouvoir d'appréciation reconnu à l'autorité d'indemnisation n'a comme principales limites que le respect de l'égalité de traitement et l'interdiction de l'arbitraire (ATF 129 II 312 consid.</w:t>
      </w:r>
    </w:p>
    <w:p>
      <w:r>
        <w:rPr>
          <w:b/>
        </w:rPr>
        <w:t>E. 8</w:t>
      </w:r>
    </w:p>
    <w:p>
      <w:r>
        <w:t>Le recourant demande également l'octroi d'intérêts compensatoires sur le montant réclamé au titre de la réparation morale. Ici également, l'autorité intimée fait valoir que selon sa pratique constante, elle n'en accorde pas. La jurisprudence du Tribunal fédéral considère qu'en matière d'aide aux victimes, les intérêts sur l'indemnité pour tort moral "constituent un facteur d'évaluation" (ATF 132 II 117), ce qui signifie en bref qu'il n'est pas dû d'intérêts, ceux-ci étant censés compris dans le montant de l'indemnité. En l'espèce, l'indemnité due au titre de la réparation morale est relativement modeste et le temps écoulé depuis les faits n'est pas tel qu'on doive considérer qu'il y aurait matière à augmenter l'indemnité allouée.</w:t>
      </w:r>
    </w:p>
    <w:p>
      <w:r>
        <w:rPr>
          <w:b/>
        </w:rPr>
        <w:t>E. 9</w:t>
      </w:r>
    </w:p>
    <w:p>
      <w:r>
        <w:t>Au vu de ce qui précède, le recours est partiellement admis en ce qui concerne les frais de transport, les intérêts moratoires y afférents et la réparation morale. En vertu de l'art. 16 aLAVI, la procédure est gratuite. La recourante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