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GE.2009.0108 vom 11. November 2010</w:t>
      </w:r>
    </w:p>
    <w:p>
      <w:r>
        <w:t>VD Tribunal cantonal, 2010-11-11, FR</w:t>
      </w:r>
    </w:p>
    <w:p>
      <w:r>
        <w:rPr>
          <w:b/>
        </w:rPr>
        <w:t xml:space="preserve">Quelle: </w:t>
      </w:r>
      <w:r>
        <w:t>https://mcp.opencaselaw.ch/entscheid/vd_omni_GE.2009.0108</w:t>
      </w:r>
    </w:p>
    <w:p>
      <w:r>
        <w:t>FR: VD_OMNI GE.2009.0108 du 11 novembre 2010</w:t>
      </w:r>
    </w:p>
    <w:p>
      <w:r>
        <w:t>IT: VD_OMNI GE.2009.0108 del 11 novembre 2010</w:t>
      </w:r>
    </w:p>
    <w:p>
      <w:pPr>
        <w:pStyle w:val="Heading2"/>
      </w:pPr>
      <w:r>
        <w:t>Regeste</w:t>
      </w:r>
    </w:p>
    <w:p>
      <w:r>
        <w:t>X.________ c/Service de l'environnement et de l'énergie, Municipalité de Rovray | Ne remplit pas les conditions de l'art. 24 al. 3 LSubv la personne qui dépose sa demande plus de deux semaines après avoir réceptionné le matériel. Pas de circonstances permettant de déroger à cette règle.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subvention litigieuse est régie par la loi vaudoise du 16 mai 2006 sur l'énergie (LVLEne; RSV 730.01), par le règlement du</w:t>
      </w:r>
    </w:p>
    <w:p>
      <w:r>
        <w:rPr>
          <w:b/>
        </w:rPr>
        <w:t>E. 4</w:t>
      </w:r>
    </w:p>
    <w:p>
      <w:r>
        <w:t>Les considérants qui précèdent conduisent au rejet du recours et à la confirmation de la décision attaquée. Le recourant, qui succombe, doit supporter les frais du présent arrêt (art. 49 de la loi vaudoise du 28 octobre 2008 sur la procédure administrative [LPA-VD; RSV 173.36]) et n'a pas droit à des dépens (art.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