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GE.2009.0094 vom 18. November 2010</w:t>
      </w:r>
    </w:p>
    <w:p>
      <w:r>
        <w:t>VD Tribunal cantonal, 2010-11-18, FR</w:t>
      </w:r>
    </w:p>
    <w:p>
      <w:r>
        <w:rPr>
          <w:b/>
        </w:rPr>
        <w:t xml:space="preserve">Quelle: </w:t>
      </w:r>
      <w:r>
        <w:t>https://mcp.opencaselaw.ch/entscheid/vd_omni_GE.2009.0094</w:t>
      </w:r>
    </w:p>
    <w:p>
      <w:r>
        <w:t>FR: VD_OMNI GE.2009.0094 du 18 novembre 2010</w:t>
      </w:r>
    </w:p>
    <w:p>
      <w:r>
        <w:t>IT: VD_OMNI GE.2009.0094 del 18 novembre 2010</w:t>
      </w:r>
    </w:p>
    <w:p>
      <w:pPr>
        <w:pStyle w:val="Heading2"/>
      </w:pPr>
      <w:r>
        <w:t>Regeste</w:t>
      </w:r>
    </w:p>
    <w:p>
      <w:r>
        <w:t>X.________, Z.________ c/Police Riviera, Municipalité de Vevey | Décision refusant le transfert d'une concession de taxis "A" au motif que ce transfert aurait un caractère spéculatif, et qu'il permettrait par ailleurs d'échapper à la liste d'attente y relative. Le caractère spéculatif de la transaction n'est pas démontré à satisfaction de droit, le vendeur ayant lui-même acquis la concession en cause pour un montant plus important en 1996 sans qu'aucun changement notable au niveau des véhicules et du personnel ne soit intervenu depuis lors. En outre, l'obligation de figurer sur une liste d'attente ne figure pas dans les dispositions réglementaires, et n'est dès lors pas opposable à l'acheteur; au demeurant, la municipalité concernée a elle-même parfois fait fi de cette liste pour attribuer des concessions "A". Recours admis, en ce sens que le transfert litigieux doit être autorisé.</w:t>
      </w:r>
    </w:p>
    <w:p>
      <w:pPr>
        <w:pStyle w:val="Heading2"/>
      </w:pPr>
      <w:r>
        <w:t>Erwägungen</w:t>
      </w:r>
    </w:p>
    <w:p>
      <w:r>
        <w:rPr>
          <w:b/>
        </w:rPr>
        <w:t>E. 1</w:t>
      </w:r>
    </w:p>
    <w:p>
      <w:r>
        <w:t>Les recourants interjettent en premier lieu recours contre le courrier adressé le 15 mai 2009 à X.________ et lui impartissant un délai au 31 mai 2009 pour se mettre en conformité avec le nouveau tarif applicable aux entreprises de taxis exerçant sur les territoires des communes de Vevey, La Tour-de-Peilz et Montreux. Ils y voient une décision attaquable par laquelle ils souhaitent remettre en cause le tarif adopté dont on requiert qu'ils l'appliquent. L'autorité intimée considère quant à elle que le recours est irrecevable, faute de décision attaquable. Elle soutient également que si les recourants souhaitaient contester le tarif adopté, ils auraient dû le faire au moment de son adoption par une requête auprès de la Cour constitutionnelle. 1.1) Aux termes de l'art. 3 al. 1 LPA-VD, est une décision tout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La décision est donc un acte de souveraineté individuel, qui s'adresse à un particulier, et qui règle de manière obligatoire et contraignante, à titre formateur ou constatatoire, un rapport juridique concret relevant du droit administratif (ATF 121 II 473, JT 1997 I 370). En d'autres termes, elle constitue un acte étatique qui touche la situation juridique de l'intéressé, l'astreignant à faire, à s'abstenir ou à tolérer quelque chose, ou qui règle d'une autre manière obligatoire ses rapports juridiques avec l'Etat (ATF 121 I 173 consid. 2a).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(ATF 2P.350/2005 du 24 janvier 2006 consid. 2.1; TA GE.2006.0049 du 13 juillet 2006 consid. 1a; RDAF 1999 p. 400; 1984 p. 499 et réf. citées). 1.2) En l'occurrence, le courrier du 15 mai 2009 de Police Riviera à X.________ ne constitue pas une décision, mais une communication de l'entrée en vigueur d'un nouveau tarif en vigueur et son applicabilité à son entreprise. Il ne ressort en outre pas de ce courrier que son inexécution aurait des conséquences pour son destinataire. Dès lors, le recours est irrecevable et les autres questions de recevabilité qui se posent à son sujet peuvent en conséquence rester ouvertes.</w:t>
      </w:r>
    </w:p>
    <w:p>
      <w:r>
        <w:rPr>
          <w:b/>
        </w:rPr>
        <w:t>E. 2</w:t>
      </w:r>
    </w:p>
    <w:p>
      <w:r>
        <w:t>Les recourants contestent ensuite la décision de l'autorité intimée du 9 novembre 2009 refusant le transfert de la concession A de X.________ à Z.________ et demandant la restitution des concessions A et B de X.________ avec effet immédiat pour cessation d'activité.</w:t>
      </w:r>
    </w:p>
    <w:p>
      <w:r>
        <w:rPr>
          <w:b/>
        </w:rPr>
        <w:t>E. 3</w:t>
      </w:r>
    </w:p>
    <w:p>
      <w:r>
        <w:t>La question de la qualité pour agir de X.________ dans ce deuxième recours doit tout d'abord être examinée. 3.1) Selon l'art. 75 al. 1 let. a LPA-VD, applicable par renvoi de l'art. 99 LPA-VD, a qualité pour former recours toute personne physique ou morale ayant pris part à la procédure devant l'autorité précédente ou ayant été privée de la possibilité de le faire, qui est atteinte par la décision attaquée et qu'il dispose d'un intérêt digne de protection à ce qu'elle soit annulée ou modifiée. L'intérêt n'est digne de protection que s'il est actuel et pratique . Il faut un préjudice porté de manière immédiate à la situation personnelle du recourant (ATF 125 V 339 consid. 4a; 124 II 499 consid. 3b; 123 II 376 consid. 2, et les arrêts cités). L'intérêt actuel et pratique doit perdurer jusqu'au moment où il est statué sur le recours, faute de quoi ce dernier est déclaré sans objet (ATF 128 II 34 consid. 1b; 123 II 285 consid. 4 et les arrêts cités). 3.2) En l'espèce, il ressort du dossier que X.________ a cédé son entreprise de taxis à Z.________ et que son entreprise individuelle a dès lors été radiée du registre du commerce le 14 juillet 2009. Dès cette date, et il ne le conteste d'ailleurs pas, il ne remplit plus les conditions pour être titulaire de concessions de taxis, que ce soit sous la forme d'une concession A ou d'une concession B. Il s'ensuit qu'il n'a jamais eu d'intérêt actuel et pratique à attaquer la décision entreprise, celle-ci ne lésant en rien ses intérêts. On ne peut même pas voir un intérêt de X.________ au recours dans le fait qu'il a cédé une entreprise de taxi avec concessions, dès lors que la vente de son entreprise ne pouvait justement pas comprendre la vente d'une concession A, qui est en principe intransmissible. En conséquence, le recours de X.________ contre la décision de la Municipalité de Vevey du 9 novembre 2009 est irrecevable, faute d'intérêt digne de protection.</w:t>
      </w:r>
    </w:p>
    <w:p>
      <w:r>
        <w:rPr>
          <w:b/>
        </w:rPr>
        <w:t>E. 4</w:t>
      </w:r>
    </w:p>
    <w:p>
      <w:r>
        <w:t>Ce point tranché, il convient d'examiner le fond du litige, soit le transfert à Z.________ de la concession A de X.________, l'octroi de concessions B à Z.________ n'étant pas litigieuse, ce dernier en remplissant les conditions, ce qu'admet l'autorité intimée. 4.1) Le siège de la matière se trouve dans le Règlement de la commune de Vevey du 5 novembre 1992 concernant le service des taxis. Celui-ci mentionne notamment ce qui suit: "(…) Article</w:t>
      </w:r>
    </w:p>
    <w:p>
      <w:r>
        <w:rPr>
          <w:b/>
        </w:rPr>
        <w:t>E. 9</w:t>
      </w:r>
    </w:p>
    <w:p>
      <w:r>
        <w:t>Types d’autorisation d’exploiter Pour pouvoir exploiter une entreprise de taxi(s) sur le territoire de la commune, il faut au préalable obtenir l’autorisation de la Municipalité. Il y a trois types d’autorisation d’exploiter: 1. l’autorisation A, qui donne le droit de procéder au transport de personnes avec permis de stationnement concédé sur le ou les emplacements du domaine public désigné(s) par la Municipalité: 2. l’autorisation B, qui donne le droit de procéder au transport des personnes, sans permis de stationnement concédé sur le domaine public; 3. l’autorisation C, pour voiture de grande remise, qui donne le droit de louer la voiture pour transporter des personnes avec chauffeur exclusivement a) pour la demi-journée au minimum; b) pour les courses dépassant les limites des districts limitrophes de celui de Vevey; c) pour les cérémonies publiques ou privées (mariages, enterrements ou autres); d) aux hôtels, agences de voyages, bureaux de tourisme, instituts, pour le service de leur clientèle. (…) Article 10 Conditions générales d’octroi Pour obtenir l’autorisation d’exploiter une entreprise de taxis sur le domaine communal (collective ou individuelle) il faut: 1. jouir d’une bonne réputation; 2. avoir son siège sur le territoire communal; 3. disposer dans la région de locaux suffisants pour y garer ses véhicules et les entretenir; 4. offrir aux conducteurs des conditions de travail en conformité avec les législations fédérale et cantonale sur la durée du travail et du repos des conducteurs professionnels de véhicules automobiles. Article 11 Conditions spéciales d’octroi L’octroi d’une autorisation de type "A", avec permis de stationnement sur le domaine public ne peut intervenir que si le requérant exploite ou dirige une entreprise de taxi(s) ou un central d’appel ou exerce la profession de chauffeur de taxis, depuis 1 année au moins, sur le territoire de la commune, La Municipalité peut accorder des dérogations. (…) Article 13 Nombre des autorisations A La Municipalité arrête le nombre total des autorisations A, avec permis de stationnement concédé sur le domaine public. Le nombre des autorisations du type A est arrêté en fonction des exigences de la circulation, des besoins, ainsi que de l’espace disponible sur le domaine public, sur l’ensemble du territoire communal. Article 14 Nombre des autorisations B et C Les autorisations des types B et C sont accordées par la direction de police sans limitation quant au nombre. Article 17 Intransmissibilité En principe, les autorisations d’exploiter sont personnelles et intransmissibles. Toutefois, en cas de décès ou de renonciation du bénéficiaire, l’autorisation d’exploiter peut être délivrée au nouveau titulaire de l’entreprise: 1. si l’entreprise cédée compte plusieurs personnes à son service; 2. si le transfert n’a aucun caractère spéculatif; 3. si le nouveau titulaire remplit les conditions des articles 10 à 12 du règlement. L’autorisation d’exploiter, qu’il s’agisse d’une entreprise individuelle ou collective, exceptionnellement et sous certaines conditions, notamment celles précisées aux articles 10 et 12 ci-dessus, peut être accordée à un proche, Les autorisations d’exploiter ne sont transmissibles entre personnes morales que si les conditions fixées aux articles 10 à 12 et 15 du règlement sont remplies. (…)" Conformément à la jurisprudence récente rendue en la matière par la Cour constitutionnelle (cf. CCST.2007.0003 du 7 mars 2008), la condition du siège de l'entreprise de taxi sur le territoire communal est contraire au droit fédéral, de sorte que, bien qu'elle apparaisse dans le règlement précité, elle n'a plus de portée. Pour le surplus, le Tribunal fédéral a jugé que le renouvellement des concessions à leurs titulaires actuels ne devait pas conduire à ce qu'une situation discriminatoire pour d'autres entreprises de taxis soit bloquée pour un temps indéterminé par l'autorité concédante, en raison du fait, qu'année après année, toutes les autorisations A sont accordées à une seule société anonyme ou à un petit nombre de personnes physiques, à l'exclusion de tout nouveau titulaire. Il n'a toutefois pas exclu que l'autorité tienne compte, après l'expiration de la durée - généralement courte - des concessions de taxis, de ce que les investissements doivent être normalement envisagés à longue échéance et qu'en conséquence, le titulaire d'une autorisation doit pouvoir bénéficier pendant un temps relativement long des avantages qui en découlent (ATF 108 Ia 135; étant précisé que les autorisations de taxi A ne sont pas des droits acquis). Plus récemment, le Tribunal fédéral a rappelé qu'il découlait du principe de l'égalité de traitement entre concurrents que les entreprises qui ont bénéficié jusque-là d'une autorisation ne conservent pas leur situation privilégiée, mais bien plutôt que la répartition profite aussi à de nouveaux intéressés. A tout le moins la pratique administrative doit-elle être revue régulièrement, afin d'éviter une situation consacrant durablement d'anciens privilèges (ATF 121 I 279). En ce sens, le Tribunal fédéral a tenu pour contraire à l’art. 27 Cst. un système empêchant tout nouveau chauffeur de taxi d'obtenir dans un délai raisonnable une autorisation A. Selon ses considérants, lorsqu’il s’avère, après un examen approfondi de la situation, qu'il n’est pas possible d'augmenter le nombre des autorisations A, un système souple doit être instauré, permettant de répartir équitablement lesdites autorisations entre les différents concurrents, par exemple par rotation (TF 2P.77/2001 du 28 octobre 2002 consid. 2b et 2P.368/1998 du 7 janvier 1999 consid. 1). 4.2) En l'espèce, la Municipalité fonde principalement son argumentation sur le fait que le transfert de l'entreprise de X.________ à Z.________ avait un caractère spéculatif en ce sens qu'une partie du prix de vente, qui ne peut s'expliquer par l'objet acquis, correspond à la cession de la concession A litigieuse. L'instruction de la présente cause a permis d'établir que Z.________ a acheté à X.________ son entreprise pour la somme de 450'000 francs. X.________ en avait déboursé 520'000 fr. lorsqu'il a acquis l'entreprise des mains de M. A.________. Le chiffre d'affaires de l'entreprise en ce qui concerne les concessions B se monte aujourd'hui, comme en 1996, à environ 700'000 fr. et celui des concessions A entre 150'000 et 180'000 francs. Depuis sa création il y a 55 ans, cette société a été remise cinq fois pour un prix semblable à ceux précités. Compte tenu de ces éléments, le tribunal estime que le prix payé par Z.________ pour acquérir l'entreprise de X.________ n'est pas surfait ou à tout le moins que le caractère spéculatif de la transaction n'est pas démontré à satisfaction de droit par l'autorité intimée. Il est en effet établi que l'autorité intimée n'avait pas considéré le prix payé en 1996 par X.________ comme surfait ou à caractère spéculatif, alors qu'il avait déboursé un montant plus important pour une société de taille comparable, mais certainement pas plus grande. De plus, le témoin entendu en audience a expliqué que la reprise de l'entreprise s'était faite sans changement notable, notamment au niveau des véhicules ou du personnel. Z.________ a donc bien payé le montant de 450'000 fr. pour reprendre en l'état une société déjà bien établie dans la région, avec son nom et son numéro de téléphone. Il s'ensuit que, à ce jour, toutes les conditions prévues à l'art. 17 RTV sont remplies, Z.________ exploitant en effet depuis maintenant un an une entreprise de taxi sur le territoire de la commune de Vevey, étant au bénéfice d'une autorisation A provisoire, et que, dès lors, il n'existe aucun motif règlementaire pour l'autorité intimée de refuser le transfert à celui-ci de la concession A de X.________. Pour le surplus, on ne peut pas suivre l'autorité intimée lorsqu'elle prétend que le transfert de la concession A à Z.________ n'est pas non plus possible car il lui permettrait d'échapper à la liste d'attente établie en la matière. On relèvera tout d'abord à ce propos, que le RTV ne fait aucunement mention de l'existence d'une telle liste d'attente. L'obligation dès lors d'y figurer pour obtenir une concession A, alors que l'on remplit, comme Z.________ en l'espèce, toutes les conditions de l'art. 17 RTV, n'est pas opposable au recourant. Par ailleurs, si l'on comprend bien la motivation de l'autorité intimée en instaurant une telle liste, soit d'assurer un tournus équitable dans l'attribution de concessions A, il ressort néanmoins du RTV à son art. 11 que la Municipalité peut accorder des dérogations aux conditions spéciales d'octroi des concessions A, de sorte que la portée de cette liste devient relative. Enfin, et c'est bien là l'élément le plus marquant à ce sujet, il ressort clairement des dossiers d'attribution des concessions A de ces cinq dernières années, que la Municipalité de Vevey a, dans deux cas au moins, fait fi de cette liste pour attribuer des concessions A en dehors de la liste. A cet égard, il est intéressant de relever que le cas de M. F.________, qui s'est vu attribuer une concession A au printemps 2010 n'est pas sans rappeler la situation de Z.________ et de X.________. L'autorité intimée affirme que M. F.________ était dans la liste d'attente lorsqu'une concession A lui a été attribuée et on veut bien la croire. Il n'en demeure pas moins que, sur la liste présente au dossier datant de janvier 2010, ce n'était pas le cas, ce qui signifie que s'il s'y est inscrit, il n'était en tout cas pas en tête de liste. Finalement, l'on ne peut faire abstraction, dans le cas présent, de l'importance de l'entreprise en cause, la plus grande de la région, dont la qualité et l'étendue des services n'ont jamais été remis en question par l'autorité intimée. Cet élément suppose également que l'on écarte l'application de cette règle, au demeurant non écrite, de la liste d'attente. 5. En conclusions, le recours contre le courrier du 15 mai 2009 est irrecevable et celui contre la décision du 9 novembre 2009 doit être admis dans le sens des considérants qui précèdent. Les frais de la présente décision seront mis à la charge de l'autorité intimée, qui succombe presque totalement (art. 49 al. 1 LPA-VD). Le recourant, Z.________, qui obtient partiellement gain de cause, a droit à l'allocation de dépens légèrement réduits d'un montant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