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GE.2009.0085 vom 31. August 2010</w:t>
      </w:r>
    </w:p>
    <w:p>
      <w:r>
        <w:t>VD Tribunal cantonal, 2010-08-31, FR</w:t>
      </w:r>
    </w:p>
    <w:p>
      <w:r>
        <w:rPr>
          <w:b/>
        </w:rPr>
        <w:t xml:space="preserve">Quelle: </w:t>
      </w:r>
      <w:r>
        <w:t>https://mcp.opencaselaw.ch/entscheid/vd_omni_GE.2009.0085</w:t>
      </w:r>
    </w:p>
    <w:p>
      <w:r>
        <w:t>FR: VD_OMNI GE.2009.0085 du 31 août 2010</w:t>
      </w:r>
    </w:p>
    <w:p>
      <w:r>
        <w:t>IT: VD_OMNI GE.2009.0085 del 31 agosto 2010</w:t>
      </w:r>
    </w:p>
    <w:p>
      <w:pPr>
        <w:pStyle w:val="Heading2"/>
      </w:pPr>
      <w:r>
        <w:t>Regeste</w:t>
      </w:r>
    </w:p>
    <w:p>
      <w:r>
        <w:t>X.________ c/Département de l'intérieur | La recourante, prostituée, a été enlevée, séquestrée, frappée au visage et fait l'objet d'une tentative de viol. C'est à tort que l'autorité intimée a octroyé un tort moral réduit à la recourante, sous prétexte que les prostituées sont exposées à des risques spécifiques. Une réduction de l'indemnité allouée supposerait en effet selon l'art. 13 al. 2 aLAVI une comportement fautif de la victime, ce qui n'est pas le cas de la prostitution de rue. Au regard des faits et de la casuistique, indemnité fixée à 4'000 fr., valeur échue (intérêts compris) au lieu de 2'500 fr.</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S'agissant des conditions d'octroi, l'art. 12 aLAVI prévoit ce qui suit: " 1 La victime a droit à une indemnité pour le dommage qu'elle a subi, si ses revenus déterminants au sens de l'art. 3c de la loi fédérale du 19 mars sur les prestations complémentaires à l'assurance-vieillesse, survivants et invalidité (LPC) ne dépassent pas le quadruple du montant supérieur destiné à la couverture des besoins vitaux, fixé à l'art. 3b, al. 1, let. a, de cette même loi. Les revenus déterminants sont ceux qu'aura probablement la victime après l'infraction. 2 Une somme peut être versée à la victime à titre de réparation morale, indépendamment de son revenu, lorsque celle-ci a subi une atteinte grave et que des circonstances particulières le justifient."</w:t>
      </w:r>
    </w:p>
    <w:p>
      <w:r>
        <w:rPr>
          <w:b/>
        </w:rPr>
        <w:t>E. 4</w:t>
      </w:r>
    </w:p>
    <w:p>
      <w:r>
        <w:t>; ATF 132 II 117 consid. 2.2.4 p. 121; 1A.228/2004 du 3 août 2005 consid. 10.2; ATF 128 II 49 consid. 4.1 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voir ATF 1C_182/2007 du 28 novembre 2007 consid. 4; 1A.228/2004 du 3 août 2005 consid. 10.2; 1A.235/2000 du 21 février 2001 consid. 3a). Comme l'a rappelé le Tribunal fédéral à plusieurs reprises,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La collectivité n'étant pas responsable des conséquences de l'infraction , mais seulement liée par un devoir d'assistance publique envers la victime, elle n'est pas nécessairement tenue à des prestations aussi étendues que celles exigibles de la part de l'auteur de l'infraction (ATF 129 II 312 consid. 2.3; ATF 128 II 49 consid. 4.3; Stéphanie Converset, Aide aux victimes d’infractions et réparation du dommage, Genève/Zurich/Bâle 2009, p. 262 ). La différence de nature entre l’indemnité LAVI et la réparation civile a pour conséquence que la première n’atteint pas automatiquement le montant de la seconde, et qu’elle peut donc s’en écarter en fonction des circonstances (ATF 125 II 169; 1A.235/2000 du 21 février 2001; Alexandre Guyaz, L'indemnisation du tort moral en cas d'accident, in SJ 2003 II 1 p. 27).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ce n'est pas seulement le critère objectivement mesurable (p. ex. une invalidité médico-théorique) qui est décisif; il s’agit d’évaluer le préjudice immatériel subi (Gomm/Zehntner, Kommentar zum Opferhilfegesetz, Bundesgesetz vom 23. März 2007 über die Hilfe an Opfer von Straftaten, Berne 2009, n. 5 ad art. 23 LAVI,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 Hütte/Ducksch/Gross/Guerrero, Die Genugtuung, 3ème édition, Zurich Bâle Genève 2005 ,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(Mizel, La qualité de victime LAVI et la mesure actuelle des droits qui en découlent, JdT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Werro, in Commentaire romand, Code des obligations I, Bâle 2003, n. 22 ad art. 47 CO, p. 340). 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Les cas répertoriés dans la pratique judiciaire en matière de tort moral ne donnent que peu d’exemples d’indemnités allouées à des victimes de tentatives de viol. Gomm/Zehnter (Kommentar zum Opferhilfegesetz déjà cité, n. 14 ad art. 23, p. 202) recensent des montants de 6'000 à 8'000 fr. pour de tels cas (mais sans beaucoup de précisons sur les circonstances de l’infraction). d ) En l'espèce, la recourante a été enlevée, séquestrée, frappée au visage et fait l'objet d'une tentative de viol. Elle a réussi à s'échapper, alors que son agresseur essayait de la déshabiller, lui tenant le cou d'une main et lui touchant le sexe à même la peau de l'autre. Entendue par les enquêteurs, la recourante a expliqué avoir eu de la peine à déglutir et avoir eu mal au cou pendant deux semaines. Elle a eu également des hématomes un peu partout sur le corps. Elle a précisé par ailleurs qu'elle ne s'était pas rendue chez un médecin à la suite de l'agression. Dans son recours, elle a indiqué en outre n'avoir pas été capable de travailler durant plusieurs semaines. Au demeurant, comme dans les autres causes qui concernent le même auteur, on précisera qu’il ne se justifie pas d'octroyer un tort moral réduit à la recourante, sous prétexte que les prostituées sont exposées à des risques professionnels spécifiques (dans ce sens, Hütte/Ducksch/Gross/Guerrero, op. cit., n. 9.6.2; ég. ATF 6S.334/2003 du 10 octobre 2003 consid. 5.3). Une réduction de l'indemnité allouée supposerait en effet selon l'art. 13 al. 2 aLAVI un comportement fautif de la victime qui aurait contribué dans une mesure importante à créer ou aggraver le dommage. Or, la prostitution de rue – qui est licite – ne constitue pas un comportement fautif. La position de l'autorité intimée sur ce point contribue à "victimiser" une seconde fois la recourante, comme celle-ci le relève à juste titre dans ses écritures. Au regard des événements rappelés ci-dessus et des considérations qui précèdent, il paraît équitable de fixer, ex aequo et bono, le montant de la réparation  morale à 4'000 fr., indemnité qui prend en compte l’intérêt couru depuis l’infraction (cf. sur ce point infra, consid. 5b).</w:t>
      </w:r>
    </w:p>
    <w:p>
      <w:r>
        <w:rPr>
          <w:b/>
        </w:rPr>
        <w:t>E. 5</w:t>
      </w:r>
    </w:p>
    <w:p>
      <w:r>
        <w:t>La recourante reproche ensuite à l'autorité intimée de n'avoir pas octroyé en sus de l'indemnité versée à titre de réparation morale des intérêts compensatoires depuis le jour des faits. a) La question de savoir si, en matière civile, des intérêts doivent être octroyés en cas de réparation morale dès la date de l’événement dommageable a fait l’objet, par le Tribunal fédéral, d’une jurisprudence qui est résumée dans l’ATF 132 II 117 consid. 3.3.2 p. 125 s. Dans son ancienne jurisprudence, le Tribunal avait ainsi appliqué au montant de la réparation morale le taux usuel à l’époque de l’événement dommageable (ATF 98 II 129 consid. 1d p. 136 ss, JdT 1973 I 470), moment à partir duquel couraient les intérêts (ATF 81 II 512 consid. 6 p. 129, JdT 1956 I 237). Une telle solution avait provoqué des critiques de la doctrine, dès lors qu’elle mettait à la charge du lésé le préjudice dû au renchérissement qui survenait entre-temps (voir Brehm, Berner Kommentar, Berne 1990, art. 47 CO n° 92). A l’ATF 116 II 295 consid. 5b p. 299 s. (traduit au JdT 1991 I 38), le Tribunal fédéral s’était référé à Brehm (op. cit., art. 47 CO n° 94) qui proposait d’allouer des intérêts sur la somme fixée d’après les critères d’évaluation habituels lors de la survenance du dommage, ou alors d’appliquer (sans intérêts) les critères d’évaluation à la date du jugement ; il avait cependant, sur le vu du cas d’espèce, laissé la question ouverte quant à la prise en compte ou non de cette alternative. Dans un arrêt plus récent (ATF 129 IV 149 consid. 4.2 p. 152 s., JdT 2005 IV 193 et les références citées), il avait estimé une telle alternative peu convaincante; il se demandait en effet si, en raison du large pouvoir d’appréciation qui prévalait pour établir le montant de l’indemnité pour tort moral, il était approprié de parler de "critères d’évaluation" et, dans l’hypothèse d’une modification de l’ampleur des sommes promises d’après les principes généraux, de juger selon la nouvelle pratique tous les cas qui n’étaient pas encore exécutoires. Il avait dans le cas d’espèce considéré qu’une telle façon de voir ne saurait être retenue ; en effet, l’ampleur des sommes allouées en réparation du tort moral pendant la période en cause n’avait pas subi de changement fondamental. Les sommes allouées dans le jugement entrepris restaient dans le même ordre de grandeur et n’atteignaient pas des valeurs justifiant que l’intérêt puisse ne pas être dû. Dans l’ATF 132 II 117 consid. 3.3.3 p. 126 s., et les références citées, arrêt relatif à une indemnité LAVI pour réparation morale, le Tribunal fédéral estime douteux que la jurisprudence précitée puisse être appliquée à la fixation d’une telle indemnité. Il relève que la cause et la nature juridiques des prestations prévues par la LAVI ne sont pas les mêmes que celles des prestations relevant de la responsabilité civile, ce qui peut conduire à des différences dans le système de la réparation. Il constate ainsi qu’une des fonctions principales de la réparation morale de la LAVI repose sur son rôle symbolique important, car la communauté reconnaît à travers elle la situation difficile de la victime. Le Tribunal fédéral rappelle que les instances LAVI cantonales attribuent généralement à titre de réparation morale une somme forfaitaire calculée ex aequo et bono comprenant également les droits accessoires. La reconnaissance du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se justifie ainsi selon lui d’emblée de considérer que les intérêts sur l’indemnité LAVI pour réparation morale constituent un facteur d’évaluation. Il convient enfin de relever qu’à l’aune de la nouvelle LAVI, la question des intérêts ne se pose plus, puisque son art. 28 prévoit qu’aucun intérêt n’est dû pour l’indemnité et la réparation morale. b) En l'espèce, l'autorité intimée n’a pas octroyé en sus de l’indemnité versée pour tort moral subi des intérêts compensatoires depuis le jour des faits. Il découle de l’ATF 132 II 117 précité que les intérêts sur l’indemnité pour tort moral constituent un facteur d’évaluation. Dès lors, dans la mesure où le tribunal a effectué l’appréciation du tort moral au jour de sa décision, et donc tenu compte de l’intérêt compensatoire dans son évaluation, c’est à juste titre qu’aucun intérêt de retard ne doit être versé (voir arrêts GE.2009.0175 du 12 mars 2010 consid. 8 et GE.2010.0039 du 8 juin 2010 consid. 6).</w:t>
      </w:r>
    </w:p>
    <w:p>
      <w:r>
        <w:rPr>
          <w:b/>
        </w:rPr>
        <w:t>E. 6</w:t>
      </w:r>
    </w:p>
    <w:p>
      <w:r>
        <w:t>La recourante fait grief enfin à l'autorité intimée de ne l'avoir pas indemnisée pour sa perte de gain. Elle réclame le montant de 2'000 fr. qui lui a été octroyé à ce titre par le Tribunal correctionnel. La recourante n'a pas motivé sa demande sur ce point. Le jugement du Tribunal correctionnel ne comporte pas davantage d'informations (voir jugement p. 45: "Les autres victimes n'ont pas donné de précisions particulières; on peut allouer, comme demandé, [...] fr. 2'000.- à dame X.________" ). Il n'est pas contesté que la recourante n'a aucune comptabilité à présenter, ni autre quittance ou pièce quelconque permettant de prouver sa perte de gain; il n'y a pas davantage de précision sur la durée de son incapacité de travail. Dans ces circonstances, c'est à juste titre que l'autorité intimée a rejeté les conclusions de la recourante sur ce point, faute de motivation.</w:t>
      </w:r>
    </w:p>
    <w:p>
      <w:r>
        <w:rPr>
          <w:b/>
        </w:rPr>
        <w:t>E. 7</w:t>
      </w:r>
    </w:p>
    <w:p>
      <w:r>
        <w:t>Les considérants qui précèdent conduisent à l’admission partielle du recours. Les frais seront laissés à la charge de l’Etat. Procédant au bénéfice de l'assistance judiciaire, la recourante peut prétendre à l’allocation de dépens partiels arrêtés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