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GE.2009.0040 vom 16. September 2009</w:t>
      </w:r>
    </w:p>
    <w:p>
      <w:r>
        <w:t>VD Tribunal cantonal, 2009-09-16, FR</w:t>
      </w:r>
    </w:p>
    <w:p>
      <w:r>
        <w:rPr>
          <w:b/>
        </w:rPr>
        <w:t xml:space="preserve">Quelle: </w:t>
      </w:r>
      <w:r>
        <w:t>https://mcp.opencaselaw.ch/entscheid/vd_omni_GE.2009.0040</w:t>
      </w:r>
    </w:p>
    <w:p>
      <w:r>
        <w:t>FR: VD_OMNI GE.2009.0040 du 16 septembre 2009</w:t>
      </w:r>
    </w:p>
    <w:p>
      <w:r>
        <w:t>IT: VD_OMNI GE.2009.0040 del 16 settembre 2009</w:t>
      </w:r>
    </w:p>
    <w:p>
      <w:pPr>
        <w:pStyle w:val="Heading2"/>
      </w:pPr>
      <w:r>
        <w:t>Regeste</w:t>
      </w:r>
    </w:p>
    <w:p>
      <w:r>
        <w:t>Hadorn/Municipalité d'Aigle | A titre superfétatoire, le recours est déclaré mal fondé en tant qu'il est recevable. Les mesures décidées par l'autorité intimée apparaissent en effet adaptées au but visé, à savoir assurer la desserte des commerces à proximité de la gare et mettre à la disposition des usagers un nombre de places suffisant. Il n'appartient pas à la Cour de céans de substituer sa propre évaluation à celle de l'autorité communale qui est au bénéfice d'une délégation de la part du Chef du Service des routes en matière de signalisation à l'intérieur des localités.</w:t>
      </w:r>
    </w:p>
    <w:p>
      <w:pPr>
        <w:pStyle w:val="Heading2"/>
      </w:pPr>
      <w:r>
        <w:t>Erwägungen</w:t>
      </w:r>
    </w:p>
    <w:p>
      <w:r>
        <w:rPr>
          <w:b/>
        </w:rPr>
        <w:t>E. 1</w:t>
      </w:r>
    </w:p>
    <w:p>
      <w:r>
        <w:t>a) aa) Selon l'art. 75 al. 1 let. a de la loi du 28 octobre 2008 sur la procédure administrative (LPA; RSV 173.36),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L'art. 75 LPA a repris en substance le contenu de l'art. 37 de l'ancienne loi sur la juridiction et la procédure administrative (LJPA) en vigueur jusqu'au 31 décembre 2008, de sorte que l'on peut se référer à la jurisprudence y relative, laquelle renvoyait à la jurisprudence concernant la qualité pour déposer un recours de droit administratif devant le Tribunal fédéral en application de l'art. 103 let. a de l'ancienne loi fédérale d'organisation judiciaire du 16 décembre 1943 (OJ) (cf. arrêt AC.2009.0057 du 17 août 2009 consid. 2 p. 6). Ainsi, la qualité pour recourir des particuliers est subordonnée à la condition que l'auteur du recours soit atteint par la décision attaquée et qu'il ait un intérêt digne de protection à ce qu'elle soit annulée ou modifiée. S'agissant de la définition de l'intérêt digne de protection, la jurisprudence rappelle que le recourant doit être touché dans une mesure et avec une intensité plus grandes que la généralité des administrés, et l'intérêt invoqué - qui n'est pas nécessairement un intérêt juridiquement protégé, mais qui peut être un intérêt de fait - doit se trouver avec l'objet de la contestation dans un rapport étroit, spécial et digne d'être pris en considération. Il faut donc que l'admission du recours procure au recourant un avantage, de nature économique, idéale ou matérielle. Le recours d'un particulier formé dans l'intérêt de la loi ou d'un tiers est en revanche irrecevable. Ces exigences ont été posées de manière à empêcher l'"action populaire" (ATF 133 II 468 consid. 1 p. 469; 133 V 239 consid. 6 pp. 242 s; arrêt AC.2009.0057 du 17 août 2009 consid. 2 p. 7; AC.2007.0306 du 18 août 2009 consid. 1 p. 2). bb) En matière de signalisation, la jurisprudence du Conseil fédéral admet l'existence d'un intérêt digne de protection lorsque la restriction attaquée entraîne des inconvénients pour le recourant qui utilise régulièrement la rue en cause comme pendulaire ou comme riverain. En revanche, lorsque le trajet n'est effectué que de manière occasionnelle, l'intérêt du recourant à contester la mesure n'est plus considéré comme suffisant pour lui accorder le droit de recourir. (JAAC 50.49, consid. 1d, p. 329-330; 55.32, consid. 4b, p. 303-304; 53.26 consid. 6c, p. 174). Le recourant doit aussi invoquer un intérêt propre à contester la décision litigieuse, car la sauvegarde d'intérêts publics ou de tiers ne suffit pas (JAAC 59.41, 56.10, 55.32). L'existence d'un rapport spécial et direct avec la signalisation contestée doit en outre être établie par le recourant. La seule affirmation selon laquelle il serait touché par la mesure ne suffit pas. La gêne, et par conséquent l'intérêt digne de protection, doit apparaître vraisemblable sur la base des circonstances concrètes du cas d'espèce (JAAC 61.22, consid. 1c; cf. aussi ATF 1C_463/2007 du 29 février 2008). b) En l'occurrence, le recourant habite à quelques 600 mètres des zones concernées par son recours et ne possède pas de voiture. Il affirme que son intérêt consiste à disposer d'un accès à la gare d'Aigle le plus convivial possible et offrant une sécurité maximale, cet intérêt personnel correspondant, selon ses dires, à la volonté générale de séparer au maximum la circulation automobile de celle des cyclistes et des piétons. Le recourant ne prétend pas utiliser régulièrement la zone concernée par les aménagements litigieux. Au contraire, sa démarche procède d'une volonté d'améliorer la situation dans l'intérêt de tous. La démarche du recourant peut dès lors sans doute être qualifiée d'action populaire en l'espèce. A l'évidence, le recourant n'est pas plus touché que l'ensemble des habitants de la Commune par les mesures d'aménagement décidées par la Municipalité et ne dispose pas d'un intérêt digne de protection lui conférant la qualité pour recourir. Partant, le recours doit être déclaré irrecevable.</w:t>
      </w:r>
    </w:p>
    <w:p>
      <w:r>
        <w:rPr>
          <w:b/>
        </w:rPr>
        <w:t>E. 2</w:t>
      </w:r>
    </w:p>
    <w:p>
      <w:r>
        <w:t>A titre superfétatoire, et dans la mesure où il aurait été recevable, le recours est également mal fondé pour les motifs exposés ci-après. a) aa) Selon l'art. 98 LPA, le recourant peut invoquer la violation du droit, y compris l'excès ou l'abus du pouvoir d'appréciation (let. a), ainsi que la constatation inexacte ou incomplète des faits pertinents (let. b). Le pouvoir d'examen de l'autorité de recours n'est pas défini par la loi fédérale sur la circulation routière du 19 décembre 1958 (LCR; RS 741.01). A la suite de la modification de l'art. 3 al. 4 LCR, le Conseil fédéral n'est plus compétent en cette matière, un recours étant toutefois ouvert devant le Tribunal fédéral (FF 2001 p. 4248; FF 1999 II 4125 s). En l'espèce, aucune disposition légale, de droit fédéral ou cantonal, ne confère à la Cour de céans un libre pouvoir d'examen. Dès lors, elle se limitera à examiner la légalité de la décision attaquée (cf. arrêt GE 2002.0029 du 24 juillet 2003; GE.2001.0063 du 18 novembre 2003; GE.2008.0103 du 13 octobre 2008; ATF 2A.37/2005 du 25 janvier 2005). Dans cette limite, la Cour de céans ne peut donc substituer sa propre appréciation à celle de l’autorité communale ou cantonale et doit seulement vérifier si les autorités compétentes sont restées dans les limites d’une pesée consciencieuse des intérêts à prendre en considération (voir notamment arrêt RE 2000/0037 du 18 janvier 2001 ; voir aussi RDAF 1994 p. 483). bb) Aux termes de l'art. 3 LCR, la souveraineté cantonale sur les routes est réservée dans les limites du droit fédéral (al. 1). Les cantons sont compétents pour interdire, restreindre ou régler la circulation sur certaines routes. Ils peuvent déléguer cette compétence aux communes sous réserve de recours à une autorité cantonale (al. 2). Conformément aux art. 3 et 4 al. 1 de la loi vaudoise du 25 novembre 1974 sur la circulation routière (LVCR; RSV 741.01) ainsi qu'à l'art. 10 du règlement du 1 er juillet 2007 sur les départements de l'administration (RSV 172.215.1), le Département des infrastructures est compétent en matière de signalisation routière. Cette compétence a été déléguée au chef du Service des routes, en application de l'art. 67 de la loi du 11 février 1970 sur l'organisation du Conseil d'Etat (LOCE; RSV 172.115) par décision du Conseil d'Etat du 5 avril 2006. Pour la signalisation à l'intérieur des localités, le Département des infrastructures peut également déléguer sa compétence aux municipalités ou à certaines d'entre elles (art. 4 al. 2 LVCR). La Municipalité d'Aigle est au bénéfice d'une telle délégation (décision du chef du Département des travaux publics du 27 mars 1979). L'art.</w:t>
      </w:r>
    </w:p>
    <w:p>
      <w:r>
        <w:rPr>
          <w:b/>
        </w:rPr>
        <w:t>E. 3</w:t>
      </w:r>
    </w:p>
    <w:p>
      <w:r>
        <w:t>Il découle des considérations qui précèdent que le recours doit être rejeté en tant qu'il est recevable. Un émolument judiciaire est mis à la charge du recourant qui succombe. Un montant de 500 fr. à titre de dépens est alloué à l'autorité intimée qui a procédé avec l'assistance d'un mandataire professionnel (art. 49 et 55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