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GE.2008.0211 vom 23. März 2009</w:t>
      </w:r>
    </w:p>
    <w:p>
      <w:r>
        <w:t>VD Tribunal cantonal, 2009-03-23, FR</w:t>
      </w:r>
    </w:p>
    <w:p>
      <w:r>
        <w:rPr>
          <w:b/>
        </w:rPr>
        <w:t xml:space="preserve">Quelle: </w:t>
      </w:r>
      <w:r>
        <w:t>https://mcp.opencaselaw.ch/entscheid/vd_omni_GE.2008.0211</w:t>
      </w:r>
    </w:p>
    <w:p>
      <w:r>
        <w:t>FR: VD_OMNI GE.2008.0211 du 23 mars 2009</w:t>
      </w:r>
    </w:p>
    <w:p>
      <w:r>
        <w:t>IT: VD_OMNI GE.2008.0211 del 23 marzo 2009</w:t>
      </w:r>
    </w:p>
    <w:p>
      <w:pPr>
        <w:pStyle w:val="Heading2"/>
      </w:pPr>
      <w:r>
        <w:t>Regeste</w:t>
      </w:r>
    </w:p>
    <w:p>
      <w:r>
        <w:t>X.________ c/Service des automobiles et de la navigation | Le SAN ayant dû rendre une décision de retrait du permis de circulation du recourant et des plaques à réception de l'avis de cessation de couverture d'assurance, l'émolument (fr. 200.-) découlant de l'accomplissement de cette prestation est dû. Le fait que l'assureur RC aurait adressé à tort cet avis de cessation de couverture d'assurance est une circonstance qui doit être réglée entre les parties au contrat d'assurance. Rejet du recours.</w:t>
      </w:r>
    </w:p>
    <w:p>
      <w:pPr>
        <w:pStyle w:val="Heading2"/>
      </w:pPr>
      <w:r>
        <w:t>Erwägungen</w:t>
      </w:r>
    </w:p>
    <w:p>
      <w:r>
        <w:rPr>
          <w:b/>
        </w:rPr>
        <w:t>E. 1</w:t>
      </w:r>
    </w:p>
    <w:p>
      <w:r>
        <w:t>La présente cause étant pendante lors de l’entrée en vigueur de la loi du 28 octobre 2008 sur la procédure administrative (LPA-VD; RSV 173.36), elle sera traitée selon celle-ci (art. 117 LPA-VD). Aux termes de l'art. 92 al. 1 LPA-VD,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SAN. Déposé en temps utile, selon les formes prescrites par la loi, le recours est formellement recevable, de sorte qu'il y a lieu d'entrer en matière sur le fond.</w:t>
      </w:r>
    </w:p>
    <w:p>
      <w:r>
        <w:rPr>
          <w:b/>
        </w:rPr>
        <w:t>E. 2</w:t>
      </w:r>
    </w:p>
    <w:p>
      <w:r>
        <w:t>L’assureur annoncera à l’autorité la suspension ou la cessation de l’assurance, qui ne produiront leurs effets à l’égard des lésés qu’à partir du moment où le permis de circulation et les plaques de contrôle auront été rendus, mais au plus tard soixante jours après la notification de l’assureur, à moins que l’assurance n’ait été au préalable remplacée par une autre. L’autorité retirera le permis de circulation et les plaques de contrôle dès qu’elle aura reçu l’avis.</w:t>
      </w:r>
    </w:p>
    <w:p>
      <w:r>
        <w:rPr>
          <w:b/>
        </w:rPr>
        <w:t>E. 3</w:t>
      </w:r>
    </w:p>
    <w:p>
      <w:r>
        <w:t>Le retrait du permis devient caduc si le détenteur du véhicule remet à l’autorité une nouvelle attestation d’assurance.</w:t>
      </w:r>
    </w:p>
    <w:p>
      <w:r>
        <w:rPr>
          <w:b/>
        </w:rPr>
        <w:t>E. 4</w:t>
      </w:r>
    </w:p>
    <w:p>
      <w:r>
        <w:t>Au vu des considérants exposés ci-dessus, le recours doit être rejeté et la décision attaquée confirmée. Compte tenu de l'issue de son pourvoi, le recourant devrait supporter le paiement d'un émolument judicaire à raison des frais engendrés par la présente procédure (art. 49 al. 1 LPA-VD). Compte tenu de sa situation financière, le présent arrêt sera cependant rendu sans frais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