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GE.2008.0193 vom 30. März 2009</w:t>
      </w:r>
    </w:p>
    <w:p>
      <w:r>
        <w:t>VD Tribunal cantonal, 2009-03-30, FR</w:t>
      </w:r>
    </w:p>
    <w:p>
      <w:r>
        <w:rPr>
          <w:b/>
        </w:rPr>
        <w:t xml:space="preserve">Quelle: </w:t>
      </w:r>
      <w:r>
        <w:t>https://mcp.opencaselaw.ch/entscheid/vd_omni_GE.2008.0193</w:t>
      </w:r>
    </w:p>
    <w:p>
      <w:r>
        <w:t>FR: VD_OMNI GE.2008.0193 du 30 mars 2009</w:t>
      </w:r>
    </w:p>
    <w:p>
      <w:r>
        <w:t>IT: VD_OMNI GE.2008.0193 del 30 marzo 2009</w:t>
      </w:r>
    </w:p>
    <w:p>
      <w:pPr>
        <w:pStyle w:val="Heading2"/>
      </w:pPr>
      <w:r>
        <w:t>Regeste</w:t>
      </w:r>
    </w:p>
    <w:p>
      <w:r>
        <w:t>X.________, Y.________ SA/Service de l'économie, du logement et du tourisme | Confirmation de la fermeture d'un établissement public. Les recourants (exploitant et exerçant) ont commis de multiples manquements (non paiement de contributions aux assurances sociales, contrats de travail et permis de séjour manquants, travail de nuit non compensé, nombre maximum de jours de travail consécutifs dépassé etc.). En cours de procédure, ils ont fourni des pièces impropres à démontrer une régularisation et commis de nouvelles infractions. Ils ont ainsi démontré qu'ils n'ont pas la capacité ou la volonté de respecter leurs obligations. Seule une mesure de retrait est propre à faire cesser ces violations et à sauvegarder les intérêts publics. Les sanctions administratives prévues par la LADB sont conformes au but de cette loi et n'empiètent pas sur des compétences exclusives de la Confédération en matière d'assurances sociales ou de droit du travail. Recours rejeté par le TF (2C_312/2009).</w:t>
      </w:r>
    </w:p>
    <w:p>
      <w:pPr>
        <w:pStyle w:val="Heading2"/>
      </w:pPr>
      <w:r>
        <w:t>Erwägungen</w:t>
      </w:r>
    </w:p>
    <w:p>
      <w:r>
        <w:rPr>
          <w:b/>
        </w:rPr>
        <w:t>E. 1</w:t>
      </w:r>
    </w:p>
    <w:p>
      <w:r>
        <w:t>L'exercice de l'une des activités soumises à la présente loi nécessite l'obtention préalable auprès de l'autorité compétente d'une licence d'établissement qui comprend: –    l'autorisation d'exercer; –    l'autorisation d'exploiter.</w:t>
      </w:r>
    </w:p>
    <w:p>
      <w:r>
        <w:rPr>
          <w:b/>
        </w:rPr>
        <w:t>E. 2</w:t>
      </w:r>
    </w:p>
    <w:p>
      <w:r>
        <w:t>L'autorisation d'exercer est délivrée à la personne physique responsable de l'établissement.</w:t>
      </w:r>
    </w:p>
    <w:p>
      <w:r>
        <w:rPr>
          <w:b/>
        </w:rPr>
        <w:t>E. 3</w:t>
      </w:r>
    </w:p>
    <w:p>
      <w:r>
        <w:t>L'autorisation d'exploiter est délivrée au propriétaire du fonds de commerce.</w:t>
      </w:r>
    </w:p>
    <w:p>
      <w:r>
        <w:rPr>
          <w:b/>
        </w:rPr>
        <w:t>E. 4</w:t>
      </w:r>
    </w:p>
    <w:p>
      <w:r>
        <w:t>La décision querellée se fonde en deuxième lieu sur l'art. 60 al. 1 let. d LADB précité, selon lequel le département retire la licence et ordonne la fermeture d'un établissement lorsque "les contributions aux assurances sociales que l'exploitant est également tenu de payer n'ont pas été acquittées dans un délai raisonnable." a) L'autorité intimée a retenu, sur la base du rapport de l'inspection du travail du 3 juin 2008, que les recourants n'avaient pas respecté les minima salariaux fixés dans la Convention collective; ce faisant, ils n'avaient pas perçu ni versé de contributions aux assurances sociales sur la part de salaire qu'ils n'avaient pas payée à leurs employés. En outre, le SELT a considéré, toujours en vertu du rapport précité, que les recourants avaient offert les repas et boissons à leurs employés; ce faisant, ils avaient créé du salaire en nature, pour lequel ils n'avaient pas perçu ni versé de contributions aux assurances sociales. b) Dans leurs écritures au tribunal, les recourants n'ont pas sérieusement contesté avoir commis ces manquements avant que la décision attaquée n'ait été rendue. Ils se sont contentés de reprocher à l'autorité intimée de ne pas avoir indiqué quels seraient les employés qui n'auraient pas bénéficié du salaire minimal, ni quel serait le montant des contributions sociales qui n'auraient pas été versées alors qu'elles étaient dues, pas plus que la période considérée à cet égard. Ces griefs doivent être écartés, conformément aux motifs déjà exposés au consid. 3b supra. Les recourants étaient largement en mesure de déterminer eux-mêmes (à supposer que cela n'ait pas été éclaircis déjà lors des contrôles) l'identité exacte de ceux de leurs propres employés dont les salaires étaient insuffisants et auxquels les repas et boissons étaient offerts, ainsi que l'étendue des contributions manquantes y relatives. Leur passivité à cet égard ne peut qu'être retenue à leur charge. Par ailleurs, les éléments retenus par la décision attaquée relatifs aux contributions manquantes (minimas salariaux non respectés, repas et boissons offerts sans être soumis aux assurances sociales et au fisc) ressortent effectivement du rapport précité (cf. partie "En fait", let. B). Or, les pièces déposées devant l'autorité intimée lors de la séance du 15 septembre 2008 étaient impropres à établir soit que ces manquements n'avaient en réalité jamais existé, soit qu'ils avaient été entièrement régularisés. En effet, ces pièces traitaient exclusivement des horaires et de la paie des employés (à l'exclusion, notamment, du sort des repas et boissons, et des contributions sociales), au demeurant sur des périodes allant au plus tard jusqu'en février 2008, donc ne permettant pas de démontrer une éventuelle régularisation postérieure au second contrôle ou au rapport de l'inspecteur. Au moment où elle a été prise, la décision attaquée apparaissait ainsi justifiée sous cet angle. c) En cours de procédure, les recourants ont démontré, selon la réponse de l'autorité intimée, qu'ils respectent désormais les minimas en cause et que les employés doivent payer eux-mêmes leurs repas et boissons. Toutefois, ils n'ont toujours pas établi s'être acquittés de leurs arriérés en matière de contributions aux assurances sociales, en violation de leur obligations, le "délai raisonnable" de l'art. 60 al. 1 let. d LADB étant désormais largement dépassé. On ajoutera du reste à la charge des recourants que les employés E.________ et F.________ n'ont été annoncés qu'en janvier 2009 (voire à la fin 2008), alors qu'ils oeuvraient déjà pour les intéressés en octobre et novembre 2008 (cf. consid. 5 let. b infra). Force est ainsi de retenir que les recourants ont violé leurs obligations de s'acquitter dans un délai raisonnable de contributions aux assurances sociales dues. Sous réserve de l'examen du respect des art. 27 et 36 Cst., 26 Cst./VD (cf. consid. 6 ci-dessous), ce manquement entraîne ainsi l'application de l'art. 60 al. 1 let. d LADB, partant le retrait de la licence et la fermeture de l'établissement. d) Quant à une éventuelle requête des recourants tendant sur ce point à leur comparution personnelle et à l'audition de témoins, elle doit également être écartée à la suite d'une appréciation anticipée des preuves. En effet, on ne discerne pas quels éléments susceptibles d'influer sur l'issue du recours pourraient être amenés par la comparution personnelle ou l'audition de témoins, étant rappelé que la procédure écrite a déjà donné aux recourants l'occasion de développer pleinement leurs arguments.</w:t>
      </w:r>
    </w:p>
    <w:p>
      <w:r>
        <w:rPr>
          <w:b/>
        </w:rPr>
        <w:t>E. 5</w:t>
      </w:r>
    </w:p>
    <w:p>
      <w:r>
        <w:t>Troisièmement, la décision attaquée repose sur l'art. 60 al. 2 let. a LADB précité, selon lequel le département retire l'autorisation d'exercer ou l'autorisation d'exploiter lorsque " le titulaire a enfreint, de façon grave ou répétée, les prescriptions cantonales, fédérales et communales relatives à l'exploitation des établissements et du droit du travail ". On rappellera que cette disposition conduit à la fermeture de l'établissement, dès lors que l'autorisation d'exercer ou l'autorisation d'exploiter constituent des conditions de l'octroi de la licence d'établissement (cf. art. 4 al. 1 et 60 al. 1 let. b LADB). a) A cet égard, l'autorité intimée a repris dans sa décision les multiples manquements relevés dans le rapport de l'inspection du travail du 3 juin 2008, qu'elle a qualifiés de violations graves et répétées du droit du travail. b) Là encore, les recourants n'ont pas sérieusement contesté avoir commis ces manquements avant que la décision attaquée n'ait été rendue, mais se sont bornés à affirmer que ni la décision attaquée ni le rapport n'indiqueraient " quels auraient été les collaborateurs touchés par une violation des dispositions du droit du travail et en quoi auraient consisté ces violations ". Ce moyen est vain. En particulier, même si l'ensemble des noms des collaborateurs concernés n'étaient pas mentionnés, tant la décision que le rapport étaient suffisamment explicites (cf. partie "En fait" supra, let. B et D) pour permettre aux recourants de comprendre la nature des manquements en cause et déterminer l'identité de ceux de leurs propres collaborateurs impliqués. Encore une fois de surcroît, les manquements retenus par la décision attaquée découlent effectivement du rapport précité et les pièces déposées le 15 septembre 2008 étaient impropres à établir soit l'inexistence de ces manquements, soit leur régularisation complète. Au moment où elle a été prise, la décision attaquée apparaissait ainsi également justifiée sous cet angle. c) Certes, en cours de procédure, les recourants ont déposé un bordereau de pièces visant selon eux à démontrer le rétablissement de la situation. aa) Ces documents comprennent le décompte horaire des 20 employés suivants (pièce 67, dont page 6 manquante):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