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GE.2008.0114 vom 31. Oktober 2008</w:t>
      </w:r>
    </w:p>
    <w:p>
      <w:r>
        <w:t>VD Tribunal cantonal, 2008-10-31, FR</w:t>
      </w:r>
    </w:p>
    <w:p>
      <w:r>
        <w:rPr>
          <w:b/>
        </w:rPr>
        <w:t xml:space="preserve">Quelle: </w:t>
      </w:r>
      <w:r>
        <w:t>https://mcp.opencaselaw.ch/entscheid/vd_omni_GE.2008.0114</w:t>
      </w:r>
    </w:p>
    <w:p>
      <w:r>
        <w:t>FR: VD_OMNI GE.2008.0114 du 31 octobre 2008</w:t>
      </w:r>
    </w:p>
    <w:p>
      <w:r>
        <w:t>IT: VD_OMNI GE.2008.0114 del 31 ottobre 2008</w:t>
      </w:r>
    </w:p>
    <w:p>
      <w:pPr>
        <w:pStyle w:val="Heading2"/>
      </w:pPr>
      <w:r>
        <w:t>Regeste</w:t>
      </w:r>
    </w:p>
    <w:p>
      <w:r>
        <w:t>X._______ SA/Police cantonale du commerce | Se fondant sur la version des faits présentée par l'autorité intimée, le tribunal considère que la simple violation, même à une seule occasion, de l'art.50 al.1 let.c LADB qui interdit la vente de boissons distillées aux mineurs constitue une atteinte à l'ordre public. Il se justifie dès lors d'adresser un avertissement au commerce en cause, sur la base des art.60 al.1 let.a LADB et 62 LADB. Sans trancher la question, le tribunal relève aussi qu'il est douteux qu'un régime de responsabilité objective puisse être introduit par une disposition aussi peu claire que l'art.37 LADB.</w:t>
      </w:r>
    </w:p>
    <w:p>
      <w:pPr>
        <w:pStyle w:val="Heading2"/>
      </w:pPr>
      <w:r>
        <w:t>Erwägungen</w:t>
      </w:r>
    </w:p>
    <w:p>
      <w:r>
        <w:rPr>
          <w:b/>
        </w:rPr>
        <w:t>E. 1</w:t>
      </w:r>
    </w:p>
    <w:p>
      <w:r>
        <w:t>Conformément à l'art. 31 al. 1 er de la loi du 18 décembre 1989 sur la juridiction et la procédure administratives (LJPA; RSV 173.36), le recours s'exerce par écrit dans les 20 jours dès la communication de la décision attaquée. En l'occurrence, le recours a été déposé dans le délai prévu par la loi et il satisfait aux conditions formelles énoncées à l'art. 31 al. 2 et 3 LJPA.</w:t>
      </w:r>
    </w:p>
    <w:p>
      <w:r>
        <w:rPr>
          <w:b/>
        </w:rPr>
        <w:t>E. 2</w:t>
      </w:r>
    </w:p>
    <w:p>
      <w:r>
        <w:t>a) La LADB est entrée en vigueur le 1 er janvier 2003, remplaçant l'ancienne loi sur les auberges et les débits de boissons du 11 décembre 1984 (aLADB). Son art. 50 al. 1 er let. c dispose qu'il est interdit de servir et de vendre des boissons alcooliques aux personnes de moins de 18 ans révolus, s'il s'agit de boissons distillées ou considérées comme telles . Sous l'angle des sanctions, l'art. 61 LADB prévoit ce qui suit: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d'alcool". L¿art. 61 complète l¿art. 60 al. 1 LADB ¿ plus général ¿ qui est libellé comme suit: " Le département retire la licence ou l'autorisation simple au sens de l'article 4 et ordonne la fermeture d'un établissement lorsque: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 " . L'art. 62 LADB a la teneur suivante: "Dans les cas d'infractions de peu de gravité, le département peut adresser un avertissement aux titulaires de la licence, de l'autorisation d'exercer, de l'autorisation d'exploiter ou de l'autorisation simple au sens de l'article 4 ". b) Les sanctions administratives n'ont pas tant pour but de punir que d'obtenir le respect des règles légales. Dans l'application de ces sanctions, l'administration est liée par les principes généraux du droit administratif. En particulier, le principe de la proportionnalité (garanti par l'art. 5 al. 2 Cst.) implique, sur le plan de la procédure, un avertissement préalable à la sanction, dont on ne pourra se passer que s'il y a urgence ou si le comportement répréhensible est à ce point grave qu'il mérite une mesure immédiate (Pierre Moor, Droit administratif, volume II, 2 e éd., Berne 2002, p. 118; Häfelin/Müller/Uhlmann, Allgemeines Verwaltungsrecht, 5 e éd., Zurich/Bâle/Genève 2006, n os 1148 et 1150, p. 246 s.). Ainsi, de manière générale, l'avertissement prépare et favorise une mesure ultérieure qui, autrement, pourrait être jugée contraire au principe de la proportionnalité. L'avertissement au sens de l'article 62 LADB constitue certes une mesure plus légère que l'interdiction de vendre des boissons alcoolisées ou la décision de fermeture d¿un établissement. Il n'en demeure pas moins qu'il représente une mise en garde prononcée à titre éducatif et forme pour l'administré concerné un antécédent. En ce sens, l'avertissement comporte la menace d'une sanction plus lourde en cas de nouvelle infraction aux règles légales (cf. l'arrêt rendu par le Tribunal administratif le 2 mars 2007 dans la cause GE.2006.0179).</w:t>
      </w:r>
    </w:p>
    <w:p>
      <w:r>
        <w:rPr>
          <w:b/>
        </w:rPr>
        <w:t>E. 3</w:t>
      </w:r>
    </w:p>
    <w:p>
      <w:r>
        <w:t>La recourante conteste les faits qui lui sont reprochés. a) Selon la jurisprudence et la doctrine, l'autorité administrative ou le juge ne doivent considérer un fait comme prouvé que lorsqu'ils sont convaincus de sa réalité (ATF 121 V 204 consid. 6b p. 208; 119 V 7 consid. 3c/aa p. 9; Fritz Gygi, Bundesverwaltungsrechtspflege, 2e éd., Berne 1983, p. 278 ch. 5). La preuve d¿un fait est certaine lorsque le juge, en se basant sur des éléments objectifs, n¿a pas de doutes sérieux quant à l¿existence du fait, la présence d¿un léger doute étant, à vues humaines, logiquement inévitable et donc tolérable (arrêt TA GE.2007.0004 du 19 juillet 2007 consid. 2b/aa et les références citées). En procédure administrative,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b) La recourante explique en premier lieu ne pas s¿être opposée au prononcé préfectoral visant son ex-employée car celui-ci n¿aurait pas été porté à sa connaissance. Cette argumentation est crédible; elle n¿est toutefois pas de nature à remettre en cause la version des faits retenue par l¿autorité intimée, pour les raisons qui suivent. Le principal argument de la recourante tient au fait que le prix indiqué par le mineur ayant acheté la bouteille litigieuse (24 fr. 90 pour une bouteille de 7.5 dl) ne correspondrait pas aux prix de vente qu¿elle applique. Dans sa réponse du 26 mai 2008, l¿autorité intimée relève effectivement qu¿il ressort du contrôle qu¿elle a effectué dans le magasin de la recourante que ce sont des bouteilles de 5 dl de vodka qui sont en vente pour le prix de 24 fr. 90 et de 22 fr. 90 (et non des bouteilles de 7.5 dl). Cela étant, ce contrôle ne donne pas d¿indication sur les prix pratiqués en octobre 2007, ni sur l¿assortiment proposé à la clientèle à cette époque. La recourante n¿a pas non plus produit de pièce justificative apte à prouver ses allégations (liste interne de prix, ticket de caisse, relevé de stock, etc.), relatives aux prix pratiqués et à l¿assortiment du magasin au mois d¿octobre 2007. De manière plus générale, la version de F._______, entendu personnellement par la police en compagnie de sa mère le 28 novembre 2007, et celle de G._______, interrogée par la directrice du gymnase à fin octobre 2007, concordent en tous points. On voit mal pour quelle raison ils auraient convenu de mentionner un autre commerce que le celui dans lequel a été effectué l¿achat de la bouteille de vodka. Il faut ainsi admettre que la version des faits retenue par l¿autorité intimée est conforme à la réalité.</w:t>
      </w:r>
    </w:p>
    <w:p>
      <w:r>
        <w:rPr>
          <w:b/>
        </w:rPr>
        <w:t>E. 4</w:t>
      </w:r>
    </w:p>
    <w:p>
      <w:r>
        <w:t>La recourante estime qu¿aucun manquement ne peut être reproché à son gérant et que, par conséquent, en l¿absence de faute de sa part, aucun avertissement ne peut lui être adressé. Les responsables de la recourante ont expliqué lors de l¿entretien qu¿ils ont eu avec l¿autorité intimée en date du 11 janvier 2008 que les vendeurs reçoivent, au moment de l¿engagement, une formation relative à la vente de boissons alcoolisées et que l¿employeur procède à des contrôles internes du respect de ces exigences en faisant appel à une entreprise privée. Des mesures sévères (licenciement) sont en outre prises à l¿encontre des employés dénoncés pour vente d¿alcool à des mineurs. Ces éléments n¿ont pas été contestés par l¿autorité intimée; il y a dès lors lieu de les considérer comme avérés. Les photographies figurant au dossier attestent par ailleurs que les règles en matière de vente d¿alcool aux mineurs sont rappelées à divers endroits du magasin par des affiches suspendues au plafond ou accrochées aux rayons. Ces photographies montrent aussi que les vendeurs portent un badge "16/18" rappelant la réglementation légale. Le dossier contient également le document relatif à la formation des nouveaux collaborateurs, qui demande que ceux-ci confirment par leur signature connaître la législation relative à la vente d¿alcool. Figurent encore au dossier des "photographies" d¿écrans d¿ordinateurs de caisse dont il ressort que, lors de chaque achat de boissons alcoolisées, l¿ordinateur affiche une fenêtre rendant le vendeur attentif à la question de l¿âge de l¿acquéreur. Au vu de ces divers éléments, il faut considérer que la recourante a fait tout ce qui était nécessaire pour assurer le respect des dispositions légales en matière de vente d¿alcool et qu¿elle n¿a pas violé le devoir de diligence découlant de sa qualité d¿employeur. Il convient à cet égard de relever qu¿il serait excessif d¿exiger, comme le fait l¿autorité intimée, que le gérant soit toujours présent en caisse. Le devoir de surveillance n'oblige en effet pas celui qui a délégué l'exécution d'une tâche à un auxiliaire à conserver celui-ci en permanence sous son contrôle direct. Il ne l'oblige notamment pas à assister en personne à l'exécution de la tâche lorsque l'auxiliaire connaît les précautions à prendre (cf. ATF 117 IV 130 consid. 2d p. 134 s.; arrêt du Tribunal fédéral 6B_199/2007 du 13 mai 2008 consid. 5.2.3). Cela étant, cette absence de faute n¿est pas déterminante en l¿espèce, comme il sera exposé ci-dessous.</w:t>
      </w:r>
    </w:p>
    <w:p>
      <w:r>
        <w:rPr>
          <w:b/>
        </w:rPr>
        <w:t>E. 5</w:t>
      </w:r>
    </w:p>
    <w:p>
      <w:r>
        <w:t>La présente affaire pose la question de la responsabilité du gérant d¿un commerce (titulaire de l¿autorisation d¿exploiter un débit de boissons alcooliques) pour des infractions à la LADB commises par ses auxiliaires. Il convient d¿examiner si le titulaire de l¿autorisation d¿exploiter peut s¿opposer au prononcé d¿une sanction administrative en application de l¿art. 62 LADB au motif qu¿il n¿aurait pas commis personnellement de faute. Dans ce cadre, il convient plus particulièrement de trancher la question de savoir si le titulaire de l¿autorisation peut invoquer le fait qu¿il a pris toutes les mesure requises, notamment au niveau de la formation, pour que ses employés respectent les exigences légales. a) Dans la décision attaquée, l¿autorité intimée invoque l¿art. 37 LADB, disposition qui prévoit que " les titulaires des autorisations d¿exercer et d¿exploiter répondent de la direction en fait de l¿établissement ". Elle en déduit que, en cas de vente d¿une bouteille d¿alcool fort à un mineur par un employé, le titulaire de l¿autorisation d¿exploiter peut être sanctionné en tant que responsable et employeur de la personne concernée, même sans faute de sa part. Dans un arrêt GE.2003.0114 du 18 mai 2004 (consid. 6), le Tribunal administratif avait laissé ouverte la question de savoir si cette disposition, qui figure dans la LADB sous la note marginale " Responsabilités ", créait un cas de responsabilité objective à charge des personnes responsables de la gestion et de la direction d¿un établissement public. Il apparaît à première vue douteux, à la lumière de l¿exigence d¿une base légale, qu¿un régime particulier de responsabilité puisse être introduit par une disposition aussi peu claire que celle de l¿art. 37 LADB ( malgré ce que semble laisser entendre ¿ sans motivation ¿ le Tribunal fédéral dans l¿ATF 2P.144/2004 du 10 septembre 2004 consid. 5.2, concernant toutefois un cas dans lequel il y avait une faute du tenancier) . L¿analyse historique révèle d¿ailleurs que l¿introduction de cet article répondait au souci de poser le principe selon lequel le titulaire de la patente est, en qualité de responsable de l¿établissement, tenu de l¿exploiter personnellement (exposé des motifs et projet de loi, BGC, 22 janvier 2002, p. 7761, précisions de la commission, p. 7807). Il s¿agissait plus particulièrement de déterminer dans quelle mesure le titulaire de l¿autorisation devait être physiquement présent dans l¿établissement. Il ne ressort par contre aucunement des travaux préparatoires que cet article avait pour but de créer un régime de responsabilité en cas de violation des prescriptions de police régissant les différents établissements et notamment un régime particulier de responsabilité pour les actes des auxiliaires ( exposé des motifs et projet de loi , op. cit.). Quoiqu¿il en soit, il n¿est pas nécessaire de trancher définitivement la question dès lors que la décision attaquée peut trouver un fondement aux art. 60 al. 1, 61 et 62 LADB, comme il sera exposé ci-après . b) Selon l¿art. 60 al. 1 let. a LADB, le département retire la licence ou l'autorisation simple et ordonne la fermeture d'un établissement lorsque l'ordre public l'exige. Lorsqu¿il s¿agit d¿une infraction aux dispositions en rapport avec le service de boissons alcooliques ou la lutte contre l¿abus d¿alcool, une interdiction de débiter des boissons alcooliques pendant une certaine durée peut également être prononcée en application de l¿art. 61 LADB. Pour respecter le principe de la proportionnalité, l¿autorité intimée est censée prononcer tout d¿abord un avertissement, notamment lorsque l¿infraction est de peu de gravité (art. 62 LADB). aa) En cas de mise en danger de l¿ordre public, le principe du perturbateur s¿applique pour identifier la personne contre laquelle l¿autorité doit diriger son intervention. On distingue le perturbateur par comportement et le perturbateur par situation: doit être considéré comme perturbateur par comportement la personne qui crée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122 II 65 consid. 6a p. 70; 118 Ib 407 consid. 4c p. 414; 114 Ib 44 consid. 2c/aa p. 50 et consid. 2c/bb p. 51; 107 Ia 19 consid. 2a p. 23). bb) Dans des affaires concernant des ordres de fermeture d¿établissements publics ( arrêt GE.2000.0063 du 5 septembre 2000 et les références citées) , le Tribunal administratif avait jugé, en application de l'art. 83 aLADB, qui autorisait l¿autorité à fermer un établissement où " avaient été commis " des désordres graves ou des actes contraires aux bonnes m¿urs, que la formulation passive de cette disposition démontrait qu¿il n¿était pas nécessaire que les actes en cause puissent être imputés à faute au tenancier et que " il s¿agi [ ssai ] t d¿une disposition [ permettant ] d¿ordonner des mesures de police à l¿égard du perturbateur par situation ". Dans ces cas, le tribunal avait considéré qu¿il importait peu de savoir si le tenancier ¿ perturbateur par situation ¿ aurait pu ou dû empêcher la situation retenue par la décision attaquée et que l¿élément déterminant tenait à la présence d¿une atteinte à l¿ordre public qui justifiait de prendre des mesures à l¿encontre du perturbateur, même en l¿absence de faute de sa part. Dans le cas d¿espèce, le tribunal considère que la simple violation, même à une seule occasion, de l¿art. 50 al. 1 let. c LADB qui interdit la vente de boissons distillées aux mineurs constitue une atteinte à l¿ordre public. La présente affaire démontre d¿ailleurs que la vente d¿une unique bouteille est susceptible d¿avoir des conséquences graves. Une jeune fille s¿est en effet trouvée dans un état de coma éthylique ayant nécessité son hospitalisation, notamment en raison de la consommation de la bouteille litigieuse. De manière plus générale, on relèvera que, en raison de leurs heures d¿ouverture prolongées, les magasins du type de la recourante sont particulièrement attirants pour les mineurs souhaitant se procurer facilement de l¿alcool distillé. Il se justifie dès lors de faire preuve d¿une sévérité accrue à leur égard. En l¿occurrence, l¿atteinte à l¿ordre public qu¿implique la vente à un mineur d¿un bouteille de boisson distillée justifie d¿agir, même en l¿absence de toute faute, à l¿encontre du perturbateur (à savoir le titulaire de l¿autorisation de débit de boissons alcoolisées). cc) On relèvera encore que la décision attaquée est conforme au principe de la proportionnalité puisque l¿autorité intimée a infligé à la recourante la sanction légale la plus légère, soit un avertissement.</w:t>
      </w:r>
    </w:p>
    <w:p>
      <w:r>
        <w:rPr>
          <w:b/>
        </w:rPr>
        <w:t>E. 6</w:t>
      </w:r>
    </w:p>
    <w:p>
      <w:r>
        <w:t>Au vu des considérants qui précèdent, le recours doit être rejeté. Les frais de la présente procédure seront mis à la charge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