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GE.2008.0068 vom 4. April 2008</w:t>
      </w:r>
    </w:p>
    <w:p>
      <w:r>
        <w:t>VD Tribunal cantonal, 2008-04-04, FR</w:t>
      </w:r>
    </w:p>
    <w:p>
      <w:r>
        <w:rPr>
          <w:b/>
        </w:rPr>
        <w:t xml:space="preserve">Quelle: </w:t>
      </w:r>
      <w:r>
        <w:t>https://mcp.opencaselaw.ch/entscheid/vd_omni_GE.2008.0068</w:t>
      </w:r>
    </w:p>
    <w:p>
      <w:r>
        <w:t>FR: VD_OMNI GE.2008.0068 du 4 avril 2008</w:t>
      </w:r>
    </w:p>
    <w:p>
      <w:r>
        <w:t>IT: VD_OMNI GE.2008.0068 del 4 aprile 2008</w:t>
      </w:r>
    </w:p>
    <w:p>
      <w:pPr>
        <w:pStyle w:val="Heading2"/>
      </w:pPr>
      <w:r>
        <w:t>Regeste</w:t>
      </w:r>
    </w:p>
    <w:p>
      <w:r>
        <w:t>X._______/Service de la consommation et des affaires vétérinaires | L'intérêt public à soumettre un chien suspect à une évaluation comportementale prédomine largement sur l'intérêt privé de son détenteur à ne pas lui faire subir cet examen. Cette large prédominance dicte une certaine souplesse dans l'examen de la réalisation des conditions auxquelles la loi soumet une telle mesure (à savoir l'animal a gravement blessé des êtres humains ou des animaux ou présente des signes d'un comportement excessivement agressif). Une vraisemblance prépondérante suffit. En l'espèce, il est suffisamment établi que le chien en cause remplit pour le moins la seconde condition (morsure). Reprise de l'arrêt GE.2007.0126. Arrêt confirmé par le TF.</w:t>
      </w:r>
    </w:p>
    <w:p>
      <w:pPr>
        <w:pStyle w:val="Heading2"/>
      </w:pPr>
      <w:r>
        <w:t>Erwägungen</w:t>
      </w:r>
    </w:p>
    <w:p>
      <w:r>
        <w:rPr>
          <w:b/>
        </w:rPr>
        <w:t>E. 1</w:t>
      </w:r>
    </w:p>
    <w:p>
      <w:r>
        <w:t>Si le service cantonal compétent est informé d’un cas visé à l'art. 34a, il vérifie les faits. Il peut faire appel à des experts.</w:t>
      </w:r>
    </w:p>
    <w:p>
      <w:r>
        <w:rPr>
          <w:b/>
        </w:rPr>
        <w:t>E. 2</w:t>
      </w:r>
    </w:p>
    <w:p>
      <w:r>
        <w:t>L'Office fédéral règle les modalités de la vérification.</w:t>
      </w:r>
    </w:p>
    <w:p>
      <w:r>
        <w:rPr>
          <w:b/>
        </w:rPr>
        <w:t>E. 3</w:t>
      </w:r>
    </w:p>
    <w:p>
      <w:r>
        <w:t>S’il apparaît lors de la vérification que le chien présente une anomalie dans son comportement, notamment une agressivité excessive, le service cantonal compétent ordonne les mesures nécessaires.</w:t>
      </w:r>
    </w:p>
    <w:p>
      <w:r>
        <w:rPr>
          <w:b/>
        </w:rPr>
        <w:t>E. 4</w:t>
      </w:r>
    </w:p>
    <w:p>
      <w:r>
        <w:t>Il reste à examiner si les faits ainsi retenus avec une vraisemblance suffisante justifient de soumettre le chien Y._______ à une évaluation comportementale, à savoir s'ils amènent à considérer que cet animal a "gravement" blessé la victime (lettre a de l'art. 34a al.1 OPAn) ou qu'il présente des signes d'un comportement excessivement agressif (lettre b de cette disposition). a) En l'espèce, le certificat médical ne détaille pas la gravité de la blessure (surface et profondeur). Il précise cependant que le médecin a limité son intervention à désinfecter la plaie et à procéder à un rappel du vaccin contre le tétanos; des points de suture ne sont pas mentionnés. On peut ainsi se demander si la morsure en cause doit effectivement être tenue pour grave. On précisera encore que selon la directive technique précitée (ch. II. 4), est considérée comme blessure grave chez l'être humain au sens de l'art. 34a OPAn toute blessure par morsure de chien qui est suivie d'une consultation médicale (médecin praticien ou hôpital). Il est toutefois douteux que le recours à une telle consultation suffise, en soi et dans tous les cas, à qualifier une blessure de grave. Quoi qu'il en soit, la question de la gravité de la blessure souffre de demeurer indécise, dès lors que le recours doit de toute façon être rejeté sur la base de la lettre b de l'art. 34a al. 1 OPAn (cf. consid. b infra). b) L'autorité intimée estime en substance que la réaction du chien constitue un signe d'un comportement excessivement agressif, au motif qu'il n'est pas normal qu'elle ait été suscitée (par la peur) à la simple vue de l'ouvrier agricole. Le recourant conteste que son chien soit agressif. Il explique que celui-ci vit depuis l'âge de deux mois à 1._______ où il dispose d'un grand jardin clôturé qui lui permet de s'ébattre. Il est sorti régulièrement en ville et est sociable. C'est un chien affectueux qui n'a jamais causé le moindre problème et vit en parfaite harmonie avec l'autre chien de la famille. Le recourant insiste sur le fait que son chien n'a jamais mordu un autre chien, encore moins un être humain, ni démontré une quelconque agressivité. Il affirme que l'ouvrier, qui tenait une cisaille, a sursauté à la vue du chien, ce qui n'a pas manqué d'effrayer celui-ci. En l'occurrence, il est établi avec une vraisemblance suffisante que le chien Y._______, tenu avec un harnais spécial, se promenait avec l'épouse du recourant sur la voie publique, en compagnie du recourant qui tenait le second chien. Il n'était pas dans une situation de défense de son territoire lorsqu'il a aperçu le lésé. Or, à la vue de ce passant, le chien ne s'est pas limité à exprimer sa crainte par des aboiements. Selon les faits résultant avec une vraisemblance prépondérante de l'état actuel du dossier, il s'est lancé vers le passant en entraînant sa maîtresse et l'a mordu. Certes, le fait que cet ouvrier tenait dans ses mains un outil peut expliquer probablement en partie la peur soudaine qu'aurait ressentie l'animal. Même dans ces circonstances toutefois, on pouvait attendre du chien qu'il ne s'effraie pas au point d'agresser une personne alors que ni son maître ni lui-même n'était l'objet de menaces. Sa réaction a dès lors été disproportionnée et dépourvue de raison objective; elle constitue ainsi un signe d'un comportement excessivement agressif. Les conditions de la lettre b de l'art. 34a al. 1 OPAn sont donc remplies. En bref, une morsure portée dans de telles circonstances constitue un signe de dangerosité qui ne doit pas être ignoré ou négligé compte tenu du bien protégé en jeu, à savoir l'intégrité corporelle - voire la vie - d'êtres humains ou d'autres animaux. En conséquence, une expertise doit être mise en oeuvre au titre de vérification au sens de l'art. 34b OPAn, afin d'examiner si le chien présente effectivement une anomalie dans son comportement, notamment une agressivité excessive. La décision attaquée doit ainsi être confirmée.</w:t>
      </w:r>
    </w:p>
    <w:p>
      <w:r>
        <w:rPr>
          <w:b/>
        </w:rPr>
        <w:t>E. 5</w:t>
      </w:r>
    </w:p>
    <w:p>
      <w:r>
        <w:t>Les considérants qui précèdent conduisent au rejet du recours aux frais du recourant qui succombe et qui, vu l'issue de son pourvoi, n'a pas droit à l'allocation de dépens. L'autorité intimée est chargée de fixer un nouveau délai au recourant pour faire soumettre son chien à cet examen comportemental, sous la menace des sanctions prévues par l'art. 292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