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GE.2007.0160 vom 15. September 2008</w:t>
      </w:r>
    </w:p>
    <w:p>
      <w:r>
        <w:t>VD Tribunal cantonal, 2008-09-15, FR</w:t>
      </w:r>
    </w:p>
    <w:p>
      <w:r>
        <w:rPr>
          <w:b/>
        </w:rPr>
        <w:t xml:space="preserve">Quelle: </w:t>
      </w:r>
      <w:r>
        <w:t>https://mcp.opencaselaw.ch/entscheid/vd_omni_GE.2007.0160</w:t>
      </w:r>
    </w:p>
    <w:p>
      <w:r>
        <w:t>FR: VD_OMNI GE.2007.0160 du 15 septembre 2008</w:t>
      </w:r>
    </w:p>
    <w:p>
      <w:r>
        <w:t>IT: VD_OMNI GE.2007.0160 del 15 settembre 2008</w:t>
      </w:r>
    </w:p>
    <w:p>
      <w:pPr>
        <w:pStyle w:val="Heading2"/>
      </w:pPr>
      <w:r>
        <w:t>Regeste</w:t>
      </w:r>
    </w:p>
    <w:p>
      <w:r>
        <w:t>Municipalité de St-George/Autorité de surveillance des finances communales | Les mécanismes de péréquation, pour complexes qu'ils soient, ne sont pas opaques au point d'entraver la gestion communale. La commune ne dispose au demeurant d'aucune autonomie dans ce domaine (consid. 3). L'application des mécanismes péréquatifs est vérifiable, partant non arbitraire; elle a été en outre vérifiée par une commission paritaire spécialisée (consid. 5). Elle ne conduit pas en l'occurrence à des inégalités de traitement (consid. 6). Sous l'angle de la bonne foi, la commune ne peut pas se plaindre de l'écart, même important, entre la facture sociale prévisionnelle et le décompte final (consid. 4).</w:t>
      </w:r>
    </w:p>
    <w:p>
      <w:pPr>
        <w:pStyle w:val="Heading2"/>
      </w:pPr>
      <w:r>
        <w:t>Erwägungen</w:t>
      </w:r>
    </w:p>
    <w:p>
      <w:r>
        <w:rPr>
          <w:b/>
        </w:rPr>
        <w:t>E. 1</w:t>
      </w:r>
    </w:p>
    <w:p>
      <w:r>
        <w:t>Dans la mesure où la recourante, dans son écriture du 29 août 2008, remet en cause l¿arrêt rendu le 23 juillet 2008, ses moyens sont irrecevables. En effet, la procédure de recours ne peut servir d¿appel contre un arrêt rendu par le Tribunal cantonal dans une affaire parallèle concernant des tiers. Pour le surplus, et dans la mesure nécessaire, la recourante est renvoyée aux motifs de l¿arrêt du 23 juillet 2008.</w:t>
      </w:r>
    </w:p>
    <w:p>
      <w:r>
        <w:rPr>
          <w:b/>
        </w:rPr>
        <w:t>E. 2</w:t>
      </w:r>
    </w:p>
    <w:p>
      <w:r>
        <w:t>La recourante se plaint de l¿écart, «énorme» selon les termes qu¿elle utilise, entre la facture sociale prévisionnelle et le décompte définitif de la péréquation pour 2006. Elle y voit la violation des «principes de saine gestion», de la bonne foi et de la prohibition de l¿arbitraire, ainsi qu¿une atteinte à son autonomie et une entrave au fonctionnement correct de ses autorités, s¿agissant notamment de la préparation et du vote du budget.</w:t>
      </w:r>
    </w:p>
    <w:p>
      <w:r>
        <w:rPr>
          <w:b/>
        </w:rPr>
        <w:t>E. 3</w:t>
      </w:r>
    </w:p>
    <w:p>
      <w:r>
        <w:t>a) Les communes vaudoises ne disposent d¿aucun autonomie en matière de péréquation financière intercommunale, qu¿elle soit directe ou indirecte (ATF 2P.170/171/172/2006, précité, consid. 3.3; cf. également l¿arrêt CCST.2006.0002, précité, consid. 2b). Elles sont autonomes, en revanche, dans le domaine de la fixation, du prélèvement et de l¿affectation des taxes et impôts communaux (art. 139 al. 1 Cst./VD). Cette autonomie fiscale est toutefois restreinte par le système de péréquation (ATF 2P.170/171/172/2006, précité, consid. 3.3). b) Sans doute, la classification des commune s est-elle établie sur la base des taux et des résultats des exercices concernés, actuelle, et non point prévisionnelle. L¿estimation, en vue de l¿établissement du budget communal, de la contribution péréquative future s¿en trouve compliquée, parce que les éléments de calcul ne sont pas entièrement déterminés à ce stade. Mais ce défaut est inhérent à la péréquation; il découle de la LPIC et du DLPIC, lesquels trouvent un appui suffisant dans la Constitution et la loi. Au demeurant, quoi qu¿en disent les recourants, l¿établissement du budget ne s¿en trouve pas rendu impossible. Cet acte politique dépend d¿autres facteurs, parfois tout aussi imprévisibles, comme la conjoncture économique, par exemple. L¿actualité récente foisonne de cas d¿erreurs d¿appréciation, favorables ou défavorables à la collectivité publique, qu¿il a fallu corriger après coup. Dans ce contexte, toute compensation d¿un surcroît de charges ou d¿un défaut de ressources, notamment par une augmentation du taux d¿impôt, représente un rattrapage a posteriori, bien connu dans le domaine des finances publiques. Il est possible que l¿accroissement des charges péréquatives puisse amener certaines communes à relever leur taux d¿impôt. Mais cette opération n¿a rien de choquant en soi; elle concourt plutôt à la réalisation de l¿objectif d¿atténuation des inégalités entre communes, fixé à l¿art. 168 al. 1 Cst./VD (cf. ATF 2P.170/171/172/2006, précité, consid. 3.3).</w:t>
      </w:r>
    </w:p>
    <w:p>
      <w:r>
        <w:rPr>
          <w:b/>
        </w:rPr>
        <w:t>E. 4</w:t>
      </w:r>
    </w:p>
    <w:p>
      <w:r>
        <w:t>a) Le principe de la bonne foi qui doit imprégner les relations entre l'Etat et les citoyens (art. 5 al. 3 Cst. et 7 al. 2 Cst./VD; ATF 131 I 166 consid. 6.1 p. 177; 126 II 97 consid. 4b p. 104/105) leur impose de se comporter l'un vis-à-vis de l'autre de manière loyale. En particulier, l'autorité doit s'abstenir de tout comportement propre à tromper le citoyen et elle ne saurait tirer aucun avantage des conséquences d'une incorrection ou d'une insuffisance de sa part (ATF 124 II 265 consid. 4a p. 269/270; 121 I 181 consid. 2a p. 183, et les arrêts cités). L 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126 II 377 consid. 3a p. 387,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b) Sous cet aspect, la recourante se plaint du comportement contradictoire des autorités de l¿Etat à son égard, résultant de l¿écart, important et en sa défaveur, entre la facture sociale prévisionnelle du 30 septembre 2005 et le décompte définitif, tel qu¿arrêté par la décision attaquée. Le caractère en deux temps du système de péréquation, où des acomptes prévisionnels sont suivis d¿un décompte définitif , découle de la loi et du décret (art. 8 DLPIC, mis en relation avec l¿art. 11 LPIC). Sur cette base déjà, la recourante ne pouvait ignorer que le document du 30 septembre 2005 ne constituait pas un élément intangible de la péréquation; elle ne pouvait en tout cas en déduire que sa contribution était invariable ¿ soit à la hausse, soit à la baisse ¿ pour l¿exercice en cours. A cela s¿ajoute que le Chef du Département de la santé et de l¿action sociale n¿était de toute manière pas en droit de donner des garanties à ce sujet, puisque la gestion des mécanismes péréquatifs dépend d¿un autre d épartement ¿ en l¿occurrence, celui de l¿intérieur , lequel a repris les compétences dévolues autrefois au Département des institutions et des relations extérieures. En outre, dans sa communication du 30 septembre 2005, le Chef du Département de la santé et de l¿action sociale a pris un soin particulier à attirer l¿attention des autorités communales sur le caractère provisoire des montants qu¿il a indiqué s , en attirant l¿attention sur les divers facteurs propres à influer sur la facture sociale finale ¿ qui ne constitue elle-même , au demeurant, que l¿un des aspects de la péréquation intercommunale. S¿agissant de la recourante, les écarts constatés sont certes importants. Mais il appartenait aux autorités communales de faire preuve en la matière d¿un surcroît de prudence, eu égard au fait qu¿il s¿agissait d¿une première application du nouveau système introduit par la LPIC. La recourante pouvait d¿autant moi n s l¿ignorer que la communication du 9 janvier 2006, puis la classification du 11 janvier 2006, indiquaient déjà une augmentation sensible du montant de la facture sociale qui serait mise à l a charge de la recourante. Celle-ci ne saurait ainsi prétendre avoir reçu, à un stade ou un autre de la procédure, des assurances expresses que sa contribution finale, telle qu¿arrêtée par la décision attaquée, ne dépasserait pas le montant indiqué les 30 septemb re 2005, 9 et 11 janvier 2006.</w:t>
      </w:r>
    </w:p>
    <w:p>
      <w:r>
        <w:rPr>
          <w:b/>
        </w:rPr>
        <w:t>E. 5</w:t>
      </w:r>
    </w:p>
    <w:p>
      <w:r>
        <w:t>a) Une décision est arbitraire lorsqu'elle viole gravement une norme ou un principe juridique clair et indiscuté, ou lorsqu'elle contredit d'une manière choquante le sentiment de la justice et de l'équité; cela présuppose que la solution retenue apparaisse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133 I 149 consid. 3.1 p. 153; 133 II 257 consid. 5.1 p. 260/261; 133 III 462 consid. 4.4.1 p. 470, et les arrêts cités). b) La recourante s¿en prend aux bases de calcul de la décision attaquée. Elle se plaint de l¿opacité de l¿application des mécanismes péréquatifs, rendant selon impossible toute vérification objective du calcul opéré par l¿autorité int imée. Le calcul du montant péréquatif dû par chaque commune du canton est établi sur la base d¿une fiche technique. L¿ensemble de cette documentation a été jointe au dossier; les recourants y ont eu intégralement accès . Le Tribunal en retient les points essentiels suivants. Conformément à l¿art. 3 LPIC, le produit de certains impôts est pris en compte pour le calcul de la valeur du point d¿impôt communal; cela concerne l¿impôt sur le revenu et la fortune des personnes physiques; l¿impôt spécial affecté; l¿impôt personnel; l¿impôt sur le bénéfice net et sur le capital des personnes morales; l¿impôt spécial des étrangers; l¿impôt à la source; l¿impôt complémentaire sur les immeubles appartenant à des personnes morales; l¿impôt foncier. Le produit de ces impôts, divisé par le taux communal, donne la valeur du point d¿impôt communal. L¿effort fiscal corrigé tient compte des variations du taux communal pendant la période de référence. Il se calcule en divisant le montant des impôts suivant le taux par le taux communal pour 2005; ce produit est multiplié par le taux pour l¿année 2006, augmenté du montant des impôts ne suivant pas le taux. L¿effort fiscal cantonal est obtenu par la valeur du point d¿impôt communal multiplié par le taux cantonal (151.5 dès 2004). La capacité fiscale structurelle correspond à une valeur théorique, soit celle des recettes communales si était appliqué le taux moyen de toutes les communes (71.8); à ce montant est ajouté celui des recettes conjoncturelles; le total permet de déterminer la capacité fiscale théorique totale. Ces éléments servent à déterminer les critères de l¿effort fiscal, de la capacité financière et de la population, retenus pour fixer la péréquation. L¿effort fiscal (critère n°1), au sens des art. 2 et 4 LPIC, résulte de la division de l¿effort fiscal corrigé par l¿effort fiscal cantonal; il est exprimé en pour-cent. La capacité financière (critère n°2) résulte de la division de la capacité fiscale théorique totale par le nombre d¿habitants; il est exprimé en francs par habitant. Le critère de la population (n°3) est déterminé par le logarithme 10 de la population en 2005, exprimé en valeur logarithmique. Pour chacun de ces critères et pour le classement final, le classement se fait, pour l¿ensemble des communes, sur une échelle allant de zéro à vingt. C¿est à ce stade qu¿interviennent les plafonds et les planchers fixés par l¿arrêté. La commune dont les valeurs sont situées entre le plafond et le maximum constaté reçoit automatiquement vingt points pour les critères n°1 et 3, et zéro point pour le critère n°2. Pour chacun des critères est calculé le nombre de points pour la commune concernée, entre zéro et vingt points, selon la formule suivante : 20x (résultat de la commune ¿ minimum plafonné) / (maximum plafonné ¿ minimum plafonné). Pour le critère n°2, la courbe et la formule sont inversées par rapport aux critères n°1 et 3 (plus la valeur obtenue par la commune est élevée, plus elle se rapproche de zéro). Le même mécanisme est appliqué pour la détermination du classement final, en tenant compte de la pondération attachée à chaque critère, selon l¿art. 2 DLPIC. A l¿appui de sa réponse du 22 octobre 2007 , le Conseil d¿Etat a produit un tableau du classement de l¿ensemble des communes. Il en ressort que sur l¿échelle de classification allant de zéro à vingt points, douze communes, regroupant au total 8'563 habitants et dont le taux d¿imposition moyen est de 54,31%, reçoivent la note zéro. Seize  communes reçoivent entre 0,2 et 3,8 points. Au total, vingt-huit communes, regroupant 27'708 habitants et dont le taux d¿imposition moyen est de 64,4 %, présentent un écart positif de quatre points. A l¿autre extrémité du classement, on trouve cent communes à quatre points d¿écart négatifs (soit entre 16 et 19,9 points); elles regroupent 236'588 habitants et leur taux d¿imposition moyen est de 81,45%. Enfin, six communes ont reçu la note 20; elles regroupent 38'632 habitants et leur taux d¿ imposition moyen est de 81,25%. Ces prescriptions, assurément complexes, ne sont pas hors de la portée de la compréhension d¿autorités communales, rompues aux arcanes de la chose publi que , notamment en matière de finances. En outre, la mise en ¿uvre des mécanismes de péréquation, les fiches techniques et les calculs des montants péréquatifs , sont contrôlés par la Commission paritaire instituée par l¿art. 10 LPIC, organisme disposant à cet égard d¿un véritable pouvoir de décision, selon la Cour constitutionnelle (arrêt CCST.2006.0002, précité, consid. 8). Or, cette Commission n¿a rien trouvé à redire au c alcul concernant la recourante.</w:t>
      </w:r>
    </w:p>
    <w:p>
      <w:r>
        <w:rPr>
          <w:b/>
        </w:rPr>
        <w:t>E. 6</w:t>
      </w:r>
    </w:p>
    <w:p>
      <w:r>
        <w:t>Dans son écriture du 29 août 2008, la recourante a comparé sa situation à celle de la commune de Vaux-sur-Morges, comme illustration exemplaire, selon elle, du caractère arbitraire du système qu¿elle conteste. Il convient sur ce point de renvoyer la recourante à l¿arrêt du 31 juillet 2008 (consid. 10g). Pour le surplus, la recourante ne saurait prétendre se trouver dans une situation analogue à celle de Vaux-sur-Morges. La population de la recourante est quatre fois plus nombreuse; le taux fiscal est proche (56% et 53%); en revanche, la valeur du point d¿impôt communal est inférieur de plus de moitié. L¿effort fiscal de la recourante est plus élevé, sa capacité financière moindre, alors que le montant à payer est proche (1'116'904 fr. pour la recourante; 1'250'163 fr. pour Vaux-sur-Morges). Le montant à payer par habitant est ainsi le double pour la recourante. Comme relevé dans l¿arrêt du 31 juillet 2008, il s¿agit là de la comparaison de situations extrêmes, qu¿il convient de replacer dans l¿application du système péréquatif, pris dans son ensemble, notamment du mécanisme de double application des plafonds et des planchers, prévue par l¿art. 3 de l¿arrêté. Il suffit sur ce point de renvoyer la recourante à l¿arrêt du 31 juillet 2008 (consid. 9d).</w:t>
      </w:r>
    </w:p>
    <w:p>
      <w:r>
        <w:rPr>
          <w:b/>
        </w:rPr>
        <w:t>E. 7</w:t>
      </w:r>
    </w:p>
    <w:p>
      <w:r>
        <w:t>Le recours doit ainsi être rejeté et la décision attaquée confirmée. Les frais sont mis à la charge de la recourante;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