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GE.2007.0151 vom 4. Dezember 2007</w:t>
      </w:r>
    </w:p>
    <w:p>
      <w:r>
        <w:t>VD Tribunal cantonal, 2007-12-04, FR</w:t>
      </w:r>
    </w:p>
    <w:p>
      <w:r>
        <w:rPr>
          <w:b/>
        </w:rPr>
        <w:t xml:space="preserve">Quelle: </w:t>
      </w:r>
      <w:r>
        <w:t>https://mcp.opencaselaw.ch/entscheid/vd_omni_GE.2007.0151</w:t>
      </w:r>
    </w:p>
    <w:p>
      <w:r>
        <w:t>FR: VD_OMNI GE.2007.0151 du 4 décembre 2007</w:t>
      </w:r>
    </w:p>
    <w:p>
      <w:r>
        <w:t>IT: VD_OMNI GE.2007.0151 del 4 dicembre 2007</w:t>
      </w:r>
    </w:p>
    <w:p>
      <w:pPr>
        <w:pStyle w:val="Heading2"/>
      </w:pPr>
      <w:r>
        <w:t>Regeste</w:t>
      </w:r>
    </w:p>
    <w:p>
      <w:r>
        <w:t>X._______/Département de la formation et de la jeunesse | Le recourant ne fait état d'aucun titre professionnel susceptible de l'habiliter à l'enseignement. Titulaire de la maturité fédérale B et d'un diplôme d'animateur socio-culturel de l'EESP, il possède certaines connaissances mais c'est sans abuser de son pouvoir d'appréciation que le DFJ a considéré qu'aucun de ces titres n'était analogue à ceux visés aux articles 103 à 103a RLS.</w:t>
      </w:r>
    </w:p>
    <w:p>
      <w:pPr>
        <w:pStyle w:val="Heading2"/>
      </w:pPr>
      <w:r>
        <w:t>Erwägungen</w:t>
      </w:r>
    </w:p>
    <w:p>
      <w:r>
        <w:rPr>
          <w:b/>
        </w:rPr>
        <w:t>E. 1</w:t>
      </w:r>
    </w:p>
    <w:p>
      <w:r>
        <w:t>Pour être engagé dans l'enseignement, les titres requis sont : - pour enseigner au cycle initial, aux cycles primaires et au cycle de transition : le diplôme HEP de maître généraliste, avec la mention correspondante; - pour enseigner au cycle de transition, dans la voie secondaire générale et dans la voie secondaire à options : le diplôme HEP de maître secondaire semi-généraliste, en  principe dans les disciplines correspondant aux options de compétence; - pour enseigner au cycle de transition, dans la voie secondaire de baccalauréat, la voie secondaire générale et la voie secondaire à options : le diplôme HEP de maître secondaire spécialiste, en principe dans les disciplines correspondant aux options de compétence; - pour enseigner une discipline spéciale (arts visuels, musique) : le diplôme HEP de maître d'une discipline spéciale, avec, cas échéant, enseignement d'une deuxième discipline correspondant à la deuxième option de compétence ; - pour enseigner dans les classes de développement : le diplôme HEP de maître pour l'enseignement spécialisé.</w:t>
      </w:r>
    </w:p>
    <w:p>
      <w:r>
        <w:rPr>
          <w:b/>
        </w:rPr>
        <w:t>E. 2</w:t>
      </w:r>
    </w:p>
    <w:p>
      <w:r>
        <w:t>Les maîtres porteurs du brevet pour l'enseignement dans les classes enfantines enseignent en principe dans les classes du cycle initial, ainsi que dans celles du premier cycle primaire.</w:t>
      </w:r>
    </w:p>
    <w:p>
      <w:r>
        <w:rPr>
          <w:b/>
        </w:rPr>
        <w:t>E. 3</w:t>
      </w:r>
    </w:p>
    <w:p>
      <w:r>
        <w:t>Les maîtres porteurs du brevet pour l'enseignement dans les classes primaires enseignent en principe dans les classes des cycles primaires, ainsi que dans celles du cycle de transition.</w:t>
      </w:r>
    </w:p>
    <w:p>
      <w:r>
        <w:rPr>
          <w:b/>
        </w:rPr>
        <w:t>E. 4</w:t>
      </w:r>
    </w:p>
    <w:p>
      <w:r>
        <w:t>Les maîtres porteurs du brevet de maître secondaire des degrés 5-7 enseignent en principe dans les classes du cycle de transition ainsi que dans celles du septième degré des voies secondaire générale et secondaire à options.</w:t>
      </w:r>
    </w:p>
    <w:p>
      <w:r>
        <w:rPr>
          <w:b/>
        </w:rPr>
        <w:t>E. 5</w:t>
      </w:r>
    </w:p>
    <w:p>
      <w:r>
        <w:t>Les maîtres porteurs du brevet de maître secondaire des degrés 8 et 9 des voies secondaire générale et secondaire à options enseignent en principe dans les classes du cycle de transition ainsi que dans celles des degrés 7 à 9 des voies secondaire générale et secondaire à options.</w:t>
      </w:r>
    </w:p>
    <w:p>
      <w:r>
        <w:rPr>
          <w:b/>
        </w:rPr>
        <w:t>E. 6</w:t>
      </w:r>
    </w:p>
    <w:p>
      <w:r>
        <w:t>Les maîtres licenciés porteurs du brevet d'aptitude à l'enseignement secondaire enseignent dans les classes du cycle de transition ainsi que dans celles de la voie secondaire de baccalauréat et, le cas échéant, dans les deux autres voies.</w:t>
      </w:r>
    </w:p>
    <w:p>
      <w:r>
        <w:rPr>
          <w:b/>
        </w:rPr>
        <w:t>E. 7</w:t>
      </w:r>
    </w:p>
    <w:p>
      <w:r>
        <w:t>Les maîtres chargés de l'enseignement d'une discipline spéciale enseignent dans les classes du cycle de transition et dans celles des degrés 7 à 9.</w:t>
      </w:r>
    </w:p>
    <w:p>
      <w:r>
        <w:rPr>
          <w:b/>
        </w:rPr>
        <w:t>E. 8</w:t>
      </w:r>
    </w:p>
    <w:p>
      <w:r>
        <w:t>Les maîtres de rythmique enseignent en principe au cycle initial.</w:t>
      </w:r>
    </w:p>
    <w:p>
      <w:r>
        <w:rPr>
          <w:b/>
        </w:rPr>
        <w:t>E. 9</w:t>
      </w:r>
    </w:p>
    <w:p>
      <w:r>
        <w:t>Les maîtres porteurs du brevet pour les classes de développement enseignent dans ces classes. Selon la directive de la Cheffe du DFJ du 22 février 2005 concernant la reconnaissance d’équivalence de titres pour l’enseignement dans les écoles publiques (Décision n°95), la décision d’équivalence est rendue par le département, au nom duquel agit par délégation de compétence son directeur RH. La Commission des équivalences à des titres professionnels reconnus pour l’enseignement formule un préavis. 2. L'art. 123e LS prévoit la compétence du Tribunal administratif pour connaître des recours contre les décisions du département. A défaut d'une disposition légale prévoyant expressément le contrôle de l'opportunité de la décision querellée, il n'exerce qu'un contrôle en légalité, c'est-à-dire qu'il examine si la décision est contraire à une disposition légale ou réglementaire expresse, ou est constitutive d'un excès ou d'un abus du pouvoir d'appréciation (art. 36 de la loi sur la juridiction et la procédure administratives - LJPA ; RSV 173.36).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(v. sur tous ces points, ATF 110 V 365 cons. 3b in fine; ATF 108 Ib 205 cons. 4a). Dans le contexte particulier du contrôle judiciaire d'un examen ou d’une évaluation de stage, le Tribunal administratif a toujours fait preuve d'une extrême retenue. En effet, déterminer la capacité d'une personne à obtenir un grade universitaire ou à exercer une profession, suppose des connaissances techniques, propres aux matières examinées, ce que les examinateurs sont en principe mieux à même d'apprécier. S’agissant d’apprécier l’expérience professionnelle du requérant, la juridiction cantonale peut sans arbitraire limiter son pouvoir d'examen à la régularité de la procédure et au respect des principes généraux de l'activité administrative, tels que la bonne foi, la proportionnalité et l'égalité de traitement (ATF 2P.308/2004 du 16 décembre 2004, consid. 3.3). S’agissant en revanche de reconnaître l’équivalence des titres, où le Tribunal fédéral lui-même n’a pas limité son pouvoir d’examen (v. ATF 2P.113/2003 du 15 septembre 2003 ; 2A.331/2002 du 24 janvier 2003), le pouvoir d’examen du Tribunal administratif n’est pas restreint. 3. En l’espèce, la décision attaquée repose sur l’art. 101 al. 1 LS. Pour le DFJ, le recourant ne peut se prévaloir d’aucun titre équivalant à ceux mentionnés dans les dispositions précitées, de sorte qu’il n’y avait pas lieu d’accéder à sa demande d’équivalence pour enseigner le droit et l’espagnol en voie secondaire. Le recourant ne fait état d’aucun titre professionnel susceptible de l’habiliter à l’enseignement. Il n’est titulaire d’aucun diplôme d’enseignant au sens propre et encore moins dans les branches du droit et de la langue espagnole. Titulaire de la maturité fédérale, type B, il a, certes, suivi trois années à la faculté de droit et a réussi la première partie du doctorat juridique; ayant cependant échoué aux examens, aucun titre ne lui a été délivré. Son diplôme d’animateur socio-culturel, obtenu auprès de l’EESP, lui confère sans doute, a posteriori, le titre d’assistant social HES. En outre, il a été autorisé à enseigner dans l’école privée, les conditions à remplir pour enseigner dans le secteur privé étant définies à l’art. 4 al. 2 de la loi du 12 juin 1984 sur l'enseignement privé (LEPr ; RSV 400.455) ; elles doivent garantir l'aptitude pédagogique de l'intéressé (v. arrêt GE.2003.0065 du 21 juillet 2003). A cet égard, force est d’admettre que le recourant possède des connaissances non négligeables. Toutefois, c’est sans abuser de son pouvoir d’appréciation que l’autorité intimée a considéré qu’aucun de ces titres suisses ne pouvait être considéré comme analogue à ceux mentionnés aux articles 103 et 103a RLS, dans la mesure où ils n’attestent pas de connaissances professionnelles suffisantes permettant d’enseigner dans le secteur public. Quant à son expérience professionnelle et sa prédisposition supposée à l’enseignement, quand bien même elles seraient avérées, elles ne sauraient pallier les exigences figurant aux articles 100 et ss RLS pour qu’une équivalence de titre lui soit délivrée. Sur ce volet également, l’autorité intimée n’a pas abusé de son pouvoir d’appréciation en refusant d’entrer en matière. 4. Il s’ensuit que le recours doit être rejeté et la décision attaquée, confirmée. Vu l’issue du recours, le recourant supportera les frais d’arrêt, l’allocation de dépens n’entrant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