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GE.2007.0077 vom 8. Oktober 2007</w:t>
      </w:r>
    </w:p>
    <w:p>
      <w:r>
        <w:t>VD Tribunal cantonal, 2007-10-08, FR</w:t>
      </w:r>
    </w:p>
    <w:p>
      <w:r>
        <w:rPr>
          <w:b/>
        </w:rPr>
        <w:t xml:space="preserve">Quelle: </w:t>
      </w:r>
      <w:r>
        <w:t>https://mcp.opencaselaw.ch/entscheid/vd_omni_GE.2007.0077</w:t>
      </w:r>
    </w:p>
    <w:p>
      <w:r>
        <w:t>FR: VD_OMNI GE.2007.0077 du 8 octobre 2007</w:t>
      </w:r>
    </w:p>
    <w:p>
      <w:r>
        <w:t>IT: VD_OMNI GE.2007.0077 del 8 ottobre 2007</w:t>
      </w:r>
    </w:p>
    <w:p>
      <w:pPr>
        <w:pStyle w:val="Heading2"/>
      </w:pPr>
      <w:r>
        <w:t>Regeste</w:t>
      </w:r>
    </w:p>
    <w:p>
      <w:r>
        <w:t>X.______________/Municipalité de Renens, Y._______________ SA | Un critère ayant trait au service d'entretien et aux délais d'intervention à l'issue des travaux est, s'agissant d'un marché d'adjudication de travaux de génie civil, étranger audit marché. Son utilisation dans la grille d'évaluation est illicite et l'adjudication réformée en faveur du soumissionnaire ayant présenté l'offre économiquement la plus avantageuse.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GE.2006.0084 du 6 septembre 2006, consid. 1b; GE.2005.0212 du 2 juin 2006, consid. 1b; GE.2005.0161 du 9 février 2006, consid. 6a, et les arrêts cités).</w:t>
      </w:r>
    </w:p>
    <w:p>
      <w:r>
        <w:rPr>
          <w:b/>
        </w:rPr>
        <w:t>E. 2</w:t>
      </w:r>
    </w:p>
    <w:p>
      <w:r>
        <w:t>La recourante avait initialement invoqué le défaut de motivation de la décision attaquée ; elle a cependant renoncé à ce moyen en audience, en estimant que le vice dont souffrait à l’origine la décision attaquée avait été réparé.</w:t>
      </w:r>
    </w:p>
    <w:p>
      <w:r>
        <w:rPr>
          <w:b/>
        </w:rPr>
        <w:t>E. 3</w:t>
      </w:r>
    </w:p>
    <w:p>
      <w:r>
        <w:t>La recourante s’en prend à la décision attaquée, en ce qu’elle est fondée sur violation des principes de transparence et de non discrimination. a)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En outre, lorsqu'en sus de ces critères, le pouvoir adjudicateur établit concrètement des sous-critères qu'il entend privilégier, il doit les communiquer par avance aux soumissionnaires, en indiquant leur pondération respective (ATF 125 II 86, consid. 7c, pp. 101-102). Il en découle que ces critères doivent ensuite, lors de l'analyse des soumissions, être appliqués de manière non discriminatoire à l'ensemble des entreprises concurrentes (GE.2006.0151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 GE.2006.0151 précité, consid. 2a/aa et les références citées).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n'empêche cependant pas le pouvoir adjudicateur de prendre en considération des avantages dont un seul ou certains soumissionnaires peuvent se prévaloir (v. note Denis Esseiva, in DC 2000/2, p. 58 ad S12; v. en outre arrêt GE.1999/0142, déjà cité). En principe, le marché est adjugé au soumissionnaire ayant présenté l’offre économiquement la plus avantageuse (art. 37 al. 1 RMP; art. 13 al. 1 let. f AIMP). Cette notion, centrale en matière de marchés publics (ATF 130 I 241 consid. 6.3 p. 253 ;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consid. 2b; GE.2005.0161 du 9 février 2006, consid. 6b, GE.2005.0062 du 19 août 2005, consid. 3b/aa, et GE.1999.0143 du 17 novembre 2000). La notion juridique d'offre la plus avantageuse économiquement demeure cependant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b)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A défaut de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 GE.2002.0105 du 11 janvier 2003, réf. citées). c) Au surplus, il appartient à l'adjudicateur de configurer le marché mis en soumission comme il l'entend et en fonction de ses besoins (cf. Zufferey/Maillard/Michel, Droit des marchés publics, Présentation générale, éléments choisis et code annoté, Fribourg 2002 ,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(arrêts GE.2003.0039 ; GE.2003.0018 ; GE.2000.0039 ; GE.1999.0142 ; GE.1999.0135, déjà cités). d) La procédure suivie dans le cas d'espèce pour l'évaluation des offres en concurrence n'est guère critiquable. A juste titre, la recourante ne reproche pas à l'autorité intimée de n'avoir pas communiqué à l'avance aux candidats les critères d'évaluation et leur pondération. La grille d'évaluation reprend les critères, tels qu'annoncés dans les documents de soumission, ainsi que leur pondération, de sorte que le principe de transparence est respecté à cet égard. La recourante, qui s’était plaint à l’origine de ce que la méthode de notation du prix n’ait pas été communiquée à l’avance aux soumissionnaires et que l’échelle d’évaluation n’ait pas été arrêtée à l’avance, a renoncé ultérieurement à faire valoir ces moyens.</w:t>
      </w:r>
    </w:p>
    <w:p>
      <w:r>
        <w:rPr>
          <w:b/>
        </w:rPr>
        <w:t>E. 4</w:t>
      </w:r>
    </w:p>
    <w:p>
      <w:r>
        <w:t>En l’espèce, avant d’aborder le seul moyen développé par la recourante à l’encontre de l’adjudication querellée, on constate qu’un écart infime, soit 2,98 points sur un total théorique possible de 300 points, séparent les deux offres. La recourante a obtenu la note maximale s’agissant du prix. C’est pour l’essentiel au critère n° 4 (services après travaux) que la différence se creuse dans le sens inverse, puisque la recourante obtient 2 points contre 18 à l’adjudicataire. La recourante forme dès lors deux griefs à l’encontre de l’évaluation de son offre au critère n° 4 (services après travaux). Elle se plaint tout d’abord de l’introduction dans la grille d’évaluation de deux sous-critères étrangers à la rentabilité de l’offre. Elle fait valoir en deuxième lieu que ceux-ci violent les principes de transparence et de non discrimination, de sorte qu’ils n’avaient pas à être appliqués par l’autorité intimée. La recourante ne critique pas le sous-critère n° 4.1 (service) ; elle ne met pas en cause la note qui lui a été attribuée et qui vaut à son offre une décote de 4 points au regard de celle de l’adjudicataire. Elle concentre ses critiques sur le sous-critère 4.2 (situation et délais), lui-même subdivisé en deux sous sous-critères (situation géographique et délais d’intervention), chacun valant 2 points. La note zéro a été attribuée à son offre, tandis que celle de l’adjudicataire recevait deux fois la note trois. a) Les sous-critères inhérents au critère n° 4 figuraient dans les documents d'appel d'offres et ceux-ci n’ont pas été attaqués. Pour l’autorité intimée, la recourante serait, nonobstant ce qui précède, fondée à invoquer ces moyens au stade du recours contre la décision d’adjudication subséquente. Cette question doit cependant être examinée d’office par le Tribunal. aa) Les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Une juridiction cantonale peut toutefois, sans arbitraire, estimer que des documents sont encore attaquables avec la décision d'adjudication lorsqu'ils ont été remis aux soumissionnaires après le délai fixé dans l'avis officiel pour recourir contre l'appel d'offres public (ATF 130 I 241, consid. 4.2 p. 245-246 ; 129 I 313 consid. 6.2, p. 321-322). A cela s’ajoute que la jurisprudence du Tribunal administratif considère que l'art. 43 aRMP (depuis le 1 er septembre 2004 : art. 42 RMP) contient une liste exhaustive des décisions du maître de l'ouvrage susceptibles de recours; tel est le cas de l'appel d'offres, mais non pas des documents d'appel d'offres (arrêts GE.2003.0095 du 9 décembre 2003 ; GE.2000.0161 du 23 avril 2001).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ZBl 104/2003 p. 1 ss, 10). Rappelée aux ATF 130 I 241, consid. 4.3, p. 247 et 125 I 203, consid. 3a, p. 207 ,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Carron/Fournier, op. cit. , p. 74/75). bb) En l’occurrence, l’appel d’offres publié dans l’avis officiel du 15 décembre 2006 ne fait pas mention de la voie et du délai de recours au Tribunal administratif de l’art. 10 LVMP. L’avis se borne (chiffre 4.4) à renvoyer aux conditions accompagnant le formulaire de soumission. Or, ces documents ne contiennent aucune indication sur la voie et le délai de recours au Tribunal administratif et ce, contrairement à ce qu'exige l'art. 27 al. 2 de la Constitution vaudoise du 14 avril 2003, s'agissant notamment de décisions administratives. C'est là une confirmation du fait que les documents d'appel d'offres ne sont pas directement attaquables, mais qu'ils peuvent l'être dans le cadre d'un litige portant sur une décision subséquente. La recourante n’a pas rempli le questionnaire relatif au chiffre 4.2, raison pour laquelle son offre a reçu zéro point. Ses représentants ont expliqué en audience qu’ils avaient jugé superflu de répondre à ces deux questions qui leur paraissaient inutiles, s’agissant de travaux de génie civil, voire discriminatoires. Au stade de la rédaction de l’offre déjà, ceux-ci se sont rendus compte des problèmes posés par les deux volets des sous-critères du chiffre 4.2, sans formuler toutefois la moindre observation sur ce point durant la procédure. L’attitude de la recourante suscite une certaine perplexité, au point que l’on pourrait lui opposer le principe de la bonne foi. Il n’est pas exclu en effet que la recourante n’ait pas d’emblée réagi, afin de tirer un moyen de recours ultérieurement à l’encontre de la décision d’adjudication. Il reste que l’absence de mention de la voie et du délai de recours sur les documents d’appel d’offres fait clairement obstacle à la forclusion de la recourante. Il y a donc lieu d’entrer en matière sur les griefs soulevés à l’encontre de la décision attaquée. b) Sur le fond, la recourante soutient que les deux volets des sous-critères du chiffre 4.2 sont étrangers à l’adjudication, l’un d’entre eux violant par surcroît le principe de discrimination. aa) L’art. 13 AIMP laisse aux cantons (cf. art. 8 al. 2 LVMP)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RMP). Ils doivent être distingués des critères d'aptitude (ou de qualification) qui visent à évaluer les capacités financières, économiques, techniques et organisationnelles des candidats (cf. art. 24 RMP)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l’exécution de cette prestation (cf. Olivier Rodondi, Les critères d'aptitude et les critères d'adjudication dans les procédures de marchés publics, in RDAF 2001 I p. 387 ss, 394/395; Zufferey/Maillard/Michel, op. cit., p. 192; Etienne Poltier, Les marchés publics: premières expériences vaudoises, in RDAF 2000 I p. 297 ss, not. 305/306; Gauch/Stöckli/Dubey, Thèses sur le nouveau droit fédéral des marchés publics, Fribourg 1999, p. 19). Le pouvoir adjudicateur doit en conséquence choisir des critères conformes aux principes de non discrimination, ce qui exige de sa part que les critères soient adaptés au contenu du marché. Un critère sera en revanche réputé étranger à l’adjudication lorsqu’il sort du champ d’application des articles 13 let. f AIMP et 8 let. f LVMP, soit lorsqu’il n’est pas propre à adjuger le marché à l'offre économiquement la plus avantageuse (cf. Galli/Moser/Lang, Praxis des öffentlichen Beschaffungsrechts, Zurich 2003, p. 186-187 n° 398, p. 193 n° 412 ; Jacques Dubey, Le concours en droit des marchés publics, thèse Fribourg 2005, p. 249, n° 733). En d’autres termes, il faut, pour que l’utilisation d’un tel critère soit admissible, que les aspects examinés au titre de ce critère permettent de mettre en évidence un avantage significatif ou encore clairement identifiable dans le cadre de l’exécution du marché (v., s’agissant des réserves émises au sujet du critère de la formation des apprentis, ATF 129 I 313, consid. 8.3, p. 325, et celui du respect de l’environnement, arrêt GE.2004.0147 du 27 janvier 2005, références citées). A défaut, son utilisation contrevient au principe de transparence, de sorte que le résultat est entaché d’arbitraire. bb) La recourante critique, au sous-critère 4.2, l’indication de la situation géographique du soumissionnaire. En règle générale, l’utilisation de ce critère implique pour le pouvoir adjudicateur de connaître, d'une part, la distance entre l'implantation du projet et le siège de l'entreprise, d'autre part, le temps mis par le soumissionnaire à arriver sur les lieux de l'ouvrage, en cas d'urgence. Or, l'utilisation d'un tel critère implique d'accorder un avantage aux offreurs locaux, par rapport aux offreurs externes; la doctrine et la jurisprudence s’accordent à retenir que ce type de critère ne doit être admis qu'avec la plus grande circonspection, sauf si la proximité des entreprises est commandée (cf. Maurice Flamme et alii, Commentaire pratique de la réglementation des marchés publics, tome 1A, Bruxelles 1996-1997, p. 278 ; Galli/Moser/Lang, p. 193 n° 412 ; voir à cet égard par exemple arrêts GE.2003.0072 du 28 octobre 2003 ; GE.2000.0091 du 4 octobre 2000, ainsi que DC 2000, 57, arrêt S12 avec note Denis Esseiva). La grille d’évaluation comporte déjà, sous chiffre 4.1, le sous-critère relatif aux délais d’intervention. On pourrait dès lors se demander si ce premier volet du sous-critère ayant trait à la situation géographique, outre le fait qu’il s’avère discriminatoire, ne fait pas surtout double emploi avec le sous-critère précédent. Cette question souffre cependant de rester indécise. La recourante, qui exploite une succursale à 1.************ depuis laquelle elle intervient sur le chantier distant de quelques kilomètres seulement, n’a en effet guère d’intérêt à soulever ce grief à l’encontre d’un critère qui n’en demeure pas moins critiquable. cc) En audience, les représentants de l’autorité intimée ont expliqué qu’ils utilisaient la même grille d’évaluation depuis cinq ans environ, sans distinguer selon le type de marché de construction à adjuger. Ainsi, on retrouve, dans le présent marché, les mêmes critères s’agissant des vingt-trois lots à adjuger, notamment le critère n° 4. L’autorité intimée attendait de chaque soumissionnaire un engagement d'intervenir rapidement en cas d'urgence, que ce soit pendant le chantier ou à l’issue des travaux, soit durant la mise en service du bâtiment. Pour elle, l’intervention de l’entreprise de génie civil après travaux ne se limiterait toutefois pas à la réparation d’éventuels défauts sur ses propres prestations. Elle cite l’exemple de la détérioration d’un câble souterrain ou celui de l’explosion d’une conduite, voire d’une simple fuite. Dans cette optique, l’absence de réponse de la recourante à la question précise des délais d'intervention sur les lieux au sous-critère 4.2 lui est apparue dénuée de sens. Le critère n° 4 est inadéquat. Ce critère a été intitulé de manière imprécise « services après travaux » ; or, deux situations doivent être distinguées. Pendant la durée des travaux, l’entreprise, à tout le moins lorsqu’elle sur place, est en mesure d’intervenir rapidement sur le chantier. Chaque soumissionnaire a déjà dû garantir à cet égard, au sous-critère 2.3, l’existence d’une organisation basée sur un système d’assurance qualité. Cette organisation englobe nécessairement une intervention rapide en cas d’aléas sur le chantier, de sorte que l’offre de la recourante a, sur ce point, déjà été jugée. La recourante, comme l’adjudicataire, ont du reste obtenu la note maximale pour ce dernier sous-critère. L’autorité intimée disposait ainsi de tous les éléments pour attribuer la note maximale à la recourante au critère n° 4 et on pourrait se demander si elle n'a pas abusé de son pouvoir d'appréciation en gratifiant l’offre de la recourante de zéro point. On retiendra toutefois que le critère 4 présente un caractère inutilement redondant. L’autre situation concerne l’issue des travaux et la mise en service du bâtiment scolaire. Or, la réparation des éventuels défauts constatés est de toute façon couverte par la garantie, la norme SIA 118 étant applicable en la matière. Quant aux travaux d’entretien ou de dépannage, de même que, de façon générale, tous les travaux exclus par définition de la garantie, ceux-ci ne font pas partie du présent marché. Il n’en est pas fait mention, ni dans le descriptif, ni dans les documents d’appel d’offres. On ne voit pas en quoi un tel critère dans son ensemble mettrait en évidence un avantage significatif pour le soumissionnaire dans le cadre de l’exécution d’un marché portant sur des travaux de génie civil. Le critère de l’exigence d’un service d’entretien, d’un service après vente et d’un service de dépannage n‘est ainsi pas adapté à l’adjudication de travaux de génie civil ; il est étranger à celle-ci. En évaluant les offres en concurrence au regard d’un tel critère, le pouvoir adjudicateur a abusé de la liberté qui lui est conférée de configurer le marché comme il l’entend et de choisir les critères d’adjudication en conséquence. Sa décision, qui apparaît contraire au principe de transparence, ne peut dès lors être maintenue. dd ) On pourrait en outre se demander si la pondération conférée à ce critère dans son ensemble ne paraît pas excessive, ce d’autant plus que les sous-critères, qui valent chacun deux points, font dans une certaine mesure double emploi (v. sur cette question, arrêt GE.2003.0018 du 27 mai 2003). Cela dit, cette question n’offre plus guère d’intérêt en l’espèce, l’utilisation d’un tel critère conduisant à un résultat entaché d’arbitraire.</w:t>
      </w:r>
    </w:p>
    <w:p>
      <w:r>
        <w:rPr>
          <w:b/>
        </w:rPr>
        <w:t>E. 5</w:t>
      </w:r>
    </w:p>
    <w:p>
      <w:r>
        <w:t>Le marché doit être adjugé au soumissionnaire ayant présenté l’offre économiquement la plus avantageuse (art. 37 al. 1 RMP; art. 13 al. 1 let. f AIMP). En l’occurrence, l’utilisation d’un critère étranger à l’adjudication a directement influé sur celle-ci, puisque sans le critère n° 4, l’offre de la recourante arrive à la première place (soit 270,17 contre 257,15 à l’adjudicataire). En conséquence, il convient de réformer la décision attaquée et de prononcer l’adjudication en faveur de la recourante, comme le Tribunal peut le faire exceptionnellement (cf. par exemple arrêts GE.2006.0226 du 20 février 2007 et GE.2005.0046 du 12 juillet 2005).</w:t>
      </w:r>
    </w:p>
    <w:p>
      <w:r>
        <w:rPr>
          <w:b/>
        </w:rPr>
        <w:t>E. 6</w:t>
      </w:r>
    </w:p>
    <w:p>
      <w:r>
        <w:t>Il résulte de ce qui précède que le recours doit être admis. La décision attaquée est réformée en ce sens que le marché ayant trait au lot n° 460 est adjugé à la recourante. Vu le sort du recours, la Commune de Renens, dont la Municipalité a conclu au rejet et à la confirmation de sa décision, supportera seule les frais d’arrêt, l’adjudicataire s’étant expressément remise à justice sur le sort du recours. Des dépens seront par ailleurs alloués à la recourante, qui a obtenu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