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GE.2007.0047 vom 15. November 2007</w:t>
      </w:r>
    </w:p>
    <w:p>
      <w:r>
        <w:t>VD Tribunal cantonal, 2007-11-15, FR</w:t>
      </w:r>
    </w:p>
    <w:p>
      <w:r>
        <w:rPr>
          <w:b/>
        </w:rPr>
        <w:t xml:space="preserve">Quelle: </w:t>
      </w:r>
      <w:r>
        <w:t>https://mcp.opencaselaw.ch/entscheid/vd_omni_GE.2007.0047</w:t>
      </w:r>
    </w:p>
    <w:p>
      <w:r>
        <w:t>FR: VD_OMNI GE.2007.0047 du 15 novembre 2007</w:t>
      </w:r>
    </w:p>
    <w:p>
      <w:r>
        <w:t>IT: VD_OMNI GE.2007.0047 del 15 novembre 2007</w:t>
      </w:r>
    </w:p>
    <w:p>
      <w:pPr>
        <w:pStyle w:val="Heading2"/>
      </w:pPr>
      <w:r>
        <w:t>Regeste</w:t>
      </w:r>
    </w:p>
    <w:p>
      <w:r>
        <w:t>HEGI, HEGI, MARINELLI, BOSSON, BOSSON, BOSSON, MONTOYA, MONTOYA, VUILLEMIN/Municipalité de Lussy-sur-Morges, GONVERS | Tout comme le choix du nom d'une rue, l'attribution de certaines parcelles à une rue plutôt qu'à une autre est une mesure d'organisation non sujette à recours.</w:t>
      </w:r>
    </w:p>
    <w:p>
      <w:pPr>
        <w:pStyle w:val="Heading2"/>
      </w:pPr>
      <w:r>
        <w:t>Erwägungen</w:t>
      </w:r>
    </w:p>
    <w:p>
      <w:r>
        <w:rPr>
          <w:b/>
        </w:rPr>
        <w:t>E. 1</w:t>
      </w:r>
    </w:p>
    <w:p>
      <w:r>
        <w:t>Selon l'art. 218 du règlement communal de police de la Commune de Lussy-sur-Morges approuvé par le Conseil d'Etat le 11 août 2004, la municipalité est compétente pour choisir le nom des rues. Selon la jurisprudence, un tel choix correspond à une mesure d'organisation qui n'est pas une décision au sens juridique, de sorte qu'un recours contre cet acte de l'autorité doit être déclaré irrecevable (en dernier lieu Tribunal administratif GE.2006.0173 du 19 décembre 2006; cf. aussi Tobias Jaag, Zur Rechtsnatur der Strassenbezeichnung, in Recht, 1993, p. 50 ss). La situation n'est pas différente lorsqu'en prolongement d'une rue existante, des bâtiments nouveaux sont édifiés, auxquels la municipalité attribue un nouveau numéro de cette rue : l'autorité ne fait alors que d'attribuer un nom à un nouveau tronçon en choisissant un nom existant. Dans les deux cas, même si la situation de fait des intéressés peut se trouver modifiée, aucun effet n'est exercé sur leur situation juridique alors que c'est là le propre d'une décision administrative. Ainsi, même si les recourants ont certainement de bonnes raisons de préférer l'adresse route du Bon à celle qui leur a été attribuée, ils n'en sont pas pour autant légitimés à agir : leur pourvoi doit dès lors être déclaré irrecevable.</w:t>
      </w:r>
    </w:p>
    <w:p>
      <w:r>
        <w:rPr>
          <w:b/>
        </w:rPr>
        <w:t>E. 2</w:t>
      </w:r>
    </w:p>
    <w:p>
      <w:r>
        <w:t>Il est vrai que dans sa lettre aux recourants du 12 mars 2007, la municipalité a déclaré que Claude Gonvers "devra(it) prévoir un aménagement extérieur de l'accès à (son) immeuble locatif, à part le parking souterrain, depuis la ruelle de Couvaloup" . Si une obligation avait ainsi été faite à Claude Gonvers d'aménager un accès pour les véhicules par la ruelle de Couvaloup, elle serait sujette à recours, celui-ci pouvant émaner d'autres personnes que son destinataire. Compte tenu du lien établi par l'autorité intimée entre cette décision et l'attribution d'un nom de rue, on pourrait concevoir qu'un recours soit dirigé non pas seulement contre l'ordre d'aménager un accès mais aussi contre l'attribution du nom de cet accès. Il faut cependant nier que la lettre du 12 mars 2007 constitue une décision. En effet, les termes utilisés ( "pour répondre à l'attente des locataires et des voisins, M. Gonvers (...) devra prévoir un aménagement extérieur de l'accès à cet immeuble locatif" ) n'implique pas un ordre immédiat. Le destinataire du texte n'est pas Claude Gonvers, auquel il n'est envoyé qu'en copie. Lorsqu'elle s'adresse directement à celui-ci par lettre de la même date, l'autorité intimée précise que l'aménagement en cause lui incombe "si vous entendez répondre à l'attente de vos locataires" : on comprend que la municipalité expose à l'intéressé les conséquences de ce que l'accès à sa propriété en empruntant un chemin en zone agricole ne peut pas être autorisé mais non pas qu'elle lui impose de réaliser un autre accès. On peut au surplus considérer que la parcelle 57 propriété de Claude Gonvers est équipée en accès, dès lors que des places visiteurs sont à disposition dans le parking souterrain et qu'en surface, il est possible d'accéder à la limite de cette parcelle grâce à une servitude de passage. On ne se trouve donc pas dans un cas où la municipalité aurait complété après coup les exigences d'un permis de construire entré en force en imposant la création d'un accès nouveau. En définitive, de ce que la municipalité a traité simultanément l'attribution du nom d'une rue et la situation particulière de Claude Gonvers en matière d'accès, il n'y a pas à déduire qu'elle a rendu une décision attaquable.</w:t>
      </w:r>
    </w:p>
    <w:p>
      <w:r>
        <w:rPr>
          <w:b/>
        </w:rPr>
        <w:t>E. 3</w:t>
      </w:r>
    </w:p>
    <w:p>
      <w:r>
        <w:t>De toute manière, même si on considérait qu'en s'exprimant au sujet de l'accès à la parcelle Gonvers la municipalité avait rendu une décision, les conclusions du recours, qui ne visent que l'attribution d'un nom à une rue, ne permettraient pas au Tribunal administratif d'examiner la question des accès aux parcelles litigieuses : seule devrait être contrôlée la légalité de cette attribution. Or, la municipalité avait de bonnes raisons tant pour l'attribution du nom de ruelle de Couvaloup que pour celle de route du Bon. En faveur de la première appellation, on trouve le fait que l'accès piétonnier aux immeubles litigieux implique d'emprunter le début de la ruelle de Couvaloup, pour lequel une plaque a été apposée sur un mur qui est visible depuis la route du Bon ainsi que le souci d'éviter que l'appellation route du Bon conduise les visiteurs de la parcelle 57 à emprunter le chemin situé en zone agricole et portant le même nom, qui dessert les parcelles 354 et 365. En faveur de l'appellation route du Bon on trouve le fait que le parking desservant les deux parcelles litigieuses débouchent sur la route du même nom et le fait que ces parcelles sont rattachées géographiquement au quartier desservi par la route du Bon. De ce qu'un choix a été effectué entre ces deux appellations également justifiées, on ne saurait dire que la municipalité a abusé de son pouvoir d'appréciation. Supposé recevable, le recours aurait dès lors dû être rejeté.</w:t>
      </w:r>
    </w:p>
    <w:p>
      <w:r>
        <w:rPr>
          <w:b/>
        </w:rPr>
        <w:t>E. 4</w:t>
      </w:r>
    </w:p>
    <w:p>
      <w:r>
        <w:t>Les motifs qui précèdent conduisent à l'irrecevabilité du recours. Les circonstances suivantes doivent être prises en considération au moment de statuer sur les frais et dépens. La municipalité n'a pas invité spécialement les intéressés à s'exprimer au sujet de l'attribution d'un nom à la rue desservant leur bâtiment. Elle n'ignorait pourtant pas que l'accès à la parcelle propriété de Claude Gonvers présentait des difficultés, notamment en tant que l'usage d'un chemin situé en zone agricole était prohibé, et que la mesure qu'elle s'apprêtait à prendre n'était pas sans influence à cet égard. Il est vrai qu'en se bornant à prendre des conclusions en réforme, les recourants ont implicitement renoncé à se prévaloir d'une violation du droit d'être entendu à sanctionner par une annulation. Il n'en reste pas moins que l'attitude de la municipalité, qui a consisté à clarifier la question des accès à la parcelle de Claude Gonvers à l'occasion de l'attribution du nom d'une rue, a pu manquer de clarté et inciter les intéressés à interjeter un recours. Cela étant, pour des motifs d'équité, l'émolument de justice sera mis à parts égales à la charge des recourants et de la commune, celle-ci n'ayant pas droit à des dépens. A l'émolument de justice s'ajouteront les frais engagés pour l'obtention d'extraits de registre foncier, par 300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