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GE.2007.0027 vom 22. Februar 2008</w:t>
      </w:r>
    </w:p>
    <w:p>
      <w:r>
        <w:t>VD Tribunal cantonal, 2008-02-22, FR</w:t>
      </w:r>
    </w:p>
    <w:p>
      <w:r>
        <w:rPr>
          <w:b/>
        </w:rPr>
        <w:t xml:space="preserve">Quelle: </w:t>
      </w:r>
      <w:r>
        <w:t>https://mcp.opencaselaw.ch/entscheid/vd_omni_GE.2007.0027</w:t>
      </w:r>
    </w:p>
    <w:p>
      <w:r>
        <w:t>FR: VD_OMNI GE.2007.0027 du 22 février 2008</w:t>
      </w:r>
    </w:p>
    <w:p>
      <w:r>
        <w:t>IT: VD_OMNI GE.2007.0027 del 22 febbraio 2008</w:t>
      </w:r>
    </w:p>
    <w:p>
      <w:pPr>
        <w:pStyle w:val="Heading2"/>
      </w:pPr>
      <w:r>
        <w:t>Regeste</w:t>
      </w:r>
    </w:p>
    <w:p>
      <w:r>
        <w:t>X._______/Service des automobiles et de la navigation | Suite à une demande de l'administration du port d'Yvonand, les recourants on fait immatriculer le 24 octobre 2002 leur bateau comme étant en copropriété. En 2006, le SAN s'est adressé aux recourants en leur indiquant que l'embarcation ne pouvait être immatriculée qu'au nom d'un seul détenteur. Les recourant n'ont pas répondu à ce courrier, qui n'a pas été acheminé à l'adresse indiquée par les recourants et le SAN a rendu une décision de retrait du permis de navigation. A tort : au moment où l'autorité a émis le permis, l'art. 97 al. 6 ONI était déjà en vigueur et le permis n'était pas conforme à cette disposition. En le retirant, l'autorité viole à tout le moins le principe de la bonne foi et de l'interdiction du comportement contradictoire. Recours admis.</w:t>
      </w:r>
    </w:p>
    <w:p>
      <w:pPr>
        <w:pStyle w:val="Heading2"/>
      </w:pPr>
      <w:r>
        <w:t>Erwägungen</w:t>
      </w:r>
    </w:p>
    <w:p>
      <w:r>
        <w:rPr>
          <w:b/>
        </w:rPr>
        <w:t>E. 1</w:t>
      </w:r>
    </w:p>
    <w:p>
      <w:r>
        <w:t>Il convient dans un premier temps d'examiner la recevabilité formelle du recours. En effet, la décision entreprise, datée du 9 janvier 2007, a été adressée à la recourante par courrier recommandé. Le délai de garde arrivait donc à échéance le 17 janvier 2007. Or, le recours a été déposé à la poste le 28 février 2007, soit après l'expiration du délai de 20 jours de l'article 31 alinéa 1 de la loi sur la juridiction et la procédure administrative (ci-après LJPA; RSV 173.36). Il ressort de l'examen du formulaire de "demande d'immatriculation d'un bateau ou modification d'un permis de navigation" que la recourante avait indiqué une adresse à 4._______ dans la rubrique relative aux coordonnées de la "personne responsable". Les mêmes informations ont été indiquées dans la rubrique "adresse de facturation". Dans ces circonstances, on comprend mal pour quelle raison l'autorité intimée a adressé sa décision à une adresse différente que celle indiquée par la recourante. Il n'appartient dans tous les cas pas à cette dernière de subir les conséquences d'une notification à une fausse adresse. Il convient dès lors de considérer que le recours a été valablement déposé, ce que l'autorité intimée ne conteste d'ailleurs pas.</w:t>
      </w:r>
    </w:p>
    <w:p>
      <w:r>
        <w:rPr>
          <w:b/>
        </w:rPr>
        <w:t>E. 2</w:t>
      </w:r>
    </w:p>
    <w:p>
      <w:r>
        <w:t>Aux termes de l'article 97 alinéa 6 de l'Ordonnance du 8 novembre 1978 sur la navigation dans les eaux suisses (ci-après ONI ; RS 747.201.1), entré en vigueur le 1 er mai 2001, lorsque plusieurs personnes sont détenteurs d'un bateau, elles désignent aux autorités d'admission le représentant responsable qui est inscrit dans le permis de navigation en tant que détenteur. En l'occurrence, l'autorité intimée est intervenue en 2006 en demandant à la recourante et à M. Y._______, également copropriétaire du bateau en question, de se mettre en conformité avec cette disposition en indiquant une personne responsable. Toutefois, cette obligation incombait déjà aux copropriétaires précités lorsqu'ils ont sollicité, le 24 octobre 2002, un nouveau permis de navigation. Ils ont d'ailleurs rempli d'une manière conforme le formulaire établi par l'autorité intimée, en indiquant qui serait le représentant responsable. Or, l'autorité intimée a établi un nouveau permis de navigation en indiquant le nom des deux propriétaires dans la case "détenteur" du permis, cela contrairement à la lettre de l'article 97 alinéa 6 ONI, pourtant déjà en vigueur depuis plus d'une année. En d'autres termes, l'autorité intimée reproche à recourante une erreur qu'elle a elle-même commise en établissant un permis qui n'était pas conforme au droit. Dans ces circonstances, elle ne peut rendre une décision de retrait du permis de navigation sans violer le principe de la bonne foi, plus précisément sans violer l'interdiction du comportement contradictoire. En effet, le principe de la bonne foi, consacré à l'article 5 alinéa 3 de la Constitution fédérale, interdit notamment aux organes de l'Etat et aux administrés d'user les uns envers les autres de procédés déloyaux et d'abuser manifestement de leurs droits. L'administration doit s'abstenir de toute attitude propre à tromper les administrés et elle ne saurait tirer avantage des conséquences d'une incorrection ou d'une insuffisance de sa part (Claude Rouiller, in Droit constitutionnel suisse, Daniel Thürer et crts (éd.), Zurich, 2001, p. 686). La protection de la bonne foi présuppose que le comportement d'une autorité a fait naître dans l'esprit d'un administré la conscience qu'il est en droit de faire, de ne pas faire, ou de tolérer quelque chose, ou mieux la conscience qu'il est titulaire d'un droit qu'en vérité la loi ne lui reconnaît pas. Cette conscience peut avoir sa source dans une cohérence des attitudes dont il serait contradictoire de se départir, ou dans des assurances concrètes (Rouiller, op. cit., p. 687). Le droit à la protection de la bonne foi peut aussi être invoqué en présence, simplement d'un comportement d'une administration susceptible d'éveiller chez l'administré une attente ou une espérance légitime (ATF 129 II 361, consid. 7.1). Ainsi, à certaines conditions, le citoyen a le droit d'exiger de l'autorité qu'elle se conforme aux promesses ou assurances précises qu'elle lui a faites et ne trompe pas la confiance qu'à juste titre il a placé dans celles-ci. Il faut toutefois qu'il se soit fondé sur les assurances ou le comportement dont il se prévaut, pour prendre des dispositions auxquelles il ne saurait renoncer sans subir de préjudice et que la réglementation n'ait pas changé depuis le moment où l'assurance a été donnée (ATF 2P.170/2004 du 14 octobre 2004, consid. 2.1 et références citées). En l'occurrence, l'autorité intimée a révoqué le permis de navigation de l'embarcation de la recourante en se fondant sur une disposition légale qui était déjà en vigueur au moment où cette même autorité a établi le permis, alors même qu'elle n'avait rien trouvé de répréhensible dans le comportement de celle-ci lors de la procédure d'établissement du permis. L'autorité intimée ne peut d'ailleurs se réfugier derrière les courriers qu'elle a adressés aux copropriétaires de l'embarcation les 3 octobre et 29 novembre 2006 en indiquant qu'elle était prête à modifier le permis de navigation sans frais : ces courriers ont été adressé à l'adresse de M. Y._______, lequel n'était pas désigné comme personne responsable dans le formulaire rempli par les copropriétaires le 24 octobre 2002. Ces invitations à modifier le statut des détenteurs du bateau de la recourante ont dès lors été mal adressées et l'on ne saurait reprocher à la recourante de n'y avoir pas répondu.</w:t>
      </w:r>
    </w:p>
    <w:p>
      <w:r>
        <w:rPr>
          <w:b/>
        </w:rPr>
        <w:t>E. 3</w:t>
      </w:r>
    </w:p>
    <w:p>
      <w:r>
        <w:t>Les considérants qui précèdent conduisent dès lors à l'admission du recours. La décision entreprise doit dès lors être annulée et la cause retournée à l'autorité intimée pour qu'elle examine dans quelle mesure une nouvelle décision est nécessaire, dans la mesure où il semblerait que le bateau de la recourante a été réimmatriculé dans le canton de 1._______ (voir déterminations de l'autorité intimée du 26 juillet 2007). Vu l'issue du pourvoi, l'arrêt sera rendu sans frais et il convient d'allouer des dépens réduits à la recourante, dès lors que son conseil n'est intervenu qu'une fois le pourvoi déposé.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