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GE.2006.0208 vom 10. Juli 2007</w:t>
      </w:r>
    </w:p>
    <w:p>
      <w:r>
        <w:t>VD Tribunal cantonal, 2007-07-10, FR</w:t>
      </w:r>
    </w:p>
    <w:p>
      <w:r>
        <w:rPr>
          <w:b/>
        </w:rPr>
        <w:t xml:space="preserve">Quelle: </w:t>
      </w:r>
      <w:r>
        <w:t>https://mcp.opencaselaw.ch/entscheid/vd_omni_GE.2006.0208</w:t>
      </w:r>
    </w:p>
    <w:p>
      <w:r>
        <w:t>FR: VD_OMNI GE.2006.0208 du 10 juillet 2007</w:t>
      </w:r>
    </w:p>
    <w:p>
      <w:r>
        <w:t>IT: VD_OMNI GE.2006.0208 del 10 luglio 2007</w:t>
      </w:r>
    </w:p>
    <w:p>
      <w:pPr>
        <w:pStyle w:val="Heading2"/>
      </w:pPr>
      <w:r>
        <w:t>Regeste</w:t>
      </w:r>
    </w:p>
    <w:p>
      <w:r>
        <w:t>A.Y.X._______/POLICE CANTONALE, Service de la population (SPOP) | La recourante, mariée à un Suisse et titulaire à l'époque des faits en cause d'une autorisation de séjour annuelle, a fait l'objet d'un rapport de police alors qu'elle se trouvait dans un club de rencontres mixtes. Ce rapport précisait qu'elle oeuvrait en qualité de masseuse et prostituée alors même qu'aucune des personnes interpellées le jour en question n'a été interrogée à son sujet et qu'elle-même a toujours nié se livrer à la prostitution. Aucune circonstance ne justifiait l'établissement d'un rapport de police aussi peu nuancé et c'est à juste titre que la recourante a requis la correction de ce document qui figure dans son dossier en mains du SPOP. Admission du recours.</w:t>
      </w:r>
    </w:p>
    <w:p>
      <w:pPr>
        <w:pStyle w:val="Heading2"/>
      </w:pPr>
      <w:r>
        <w:t>Erwägungen</w:t>
      </w:r>
    </w:p>
    <w:p>
      <w:r>
        <w:rPr>
          <w:b/>
        </w:rPr>
        <w:t>E. 1</w:t>
      </w:r>
    </w:p>
    <w:p>
      <w:r>
        <w:t>En vertu de l'art. 4 de la loi du 18 décembre 1989 sur la juridiction et la procédure administrative (ci-après : LJPA), le Tribunal administratif connaît en dernière instance de tous les recours contre les décisions administratives cantonales ou communales, lorsqu'aucune autorité n'est expressément désignée par la loi pour en connaître.</w:t>
      </w:r>
    </w:p>
    <w:p>
      <w:r>
        <w:rPr>
          <w:b/>
        </w:rPr>
        <w:t>E. 2</w:t>
      </w:r>
    </w:p>
    <w:p>
      <w:r>
        <w:t>Le présent litige a pour objet une décision de la Police cantonale refusant de supprimer, subsidiairement de corriger, très subsidiairement de compléter un rapport établi le 10 avril 2001 au sujet de la recourante suite à un contrôle effectué par les services de police dans un club de rencontres mixtes où des personnes clandestines étaient suspectées de se livrer à la prostitution. La première question à résoudre est celle de déterminer la base juridique sur laquelle peut se fonder l'intéressée pour obtenir, à supposer que leur inexactitude soit démontrée, la rectification des données établies à son sujet dans un rapport de police. L'intéressée invoque à cet égard plus particulièrement l'art. 4 de la loi du 25 mai 1981 sur les fichiers informatiques et la protection des données personnelles (ci-après : LIPD; RSV 172.65).</w:t>
      </w:r>
    </w:p>
    <w:p>
      <w:r>
        <w:rPr>
          <w:b/>
        </w:rPr>
        <w:t>E. 3</w:t>
      </w:r>
    </w:p>
    <w:p>
      <w:r>
        <w:t>En préambule, il convient d'examiner l'ensemble des dispositions matérielles qui pourraient trouver application dans le cas particulier. D'emblée, on doit écarter l'application de LDPJu. Comme l'a relevé à juste titre le juge cantonal dans sa décision du 29 septembre 2006, les rapports litigieux ne répondent pas à la définition du dossier de police judiciaire au sens de l'art. 1 er de cette loi. Selon cette disposition légale, sont en effet considérées comme des dossiers de police judiciaire toutes les informations personnelles conservées par la police et relatives à un crime, un délit ou une contravention relevant du droit pénal fédéral, exception faite des condamnations portées au registre des contraventions de circulation. Les dossiers précités comprennent les documents littéraux ou photographiques (dossiers proprement dits) et les fichiers, quel que soit leur support matériel (art. 1er al. 2 LDPJu). En l'occurrence, les rapports dont il est question ne font état d'aucune infraction pénale commise par la recourante.</w:t>
      </w:r>
    </w:p>
    <w:p>
      <w:r>
        <w:rPr>
          <w:b/>
        </w:rPr>
        <w:t>E. 4</w:t>
      </w:r>
    </w:p>
    <w:p>
      <w:r>
        <w:t>Cela étant, il s'agit de déterminer si les données contenues dans le rapport litigieux entrent dans le champ d'application de la LIPD. a) Cette loi a pour but de protéger contre tout emploi abusif les données personnelles qui sont enregistrées, mémorisées, traitées et transmises par des moyens informatiques (art. 1). Elle s'applique aux fichiers informatiques que l'Etat, les communes, les établissements et corporations de droit public exploitent directement ou par l'intermédiaire de tiers, ainsi qu'aux fichiers manuels exploités en liaison avec une installation de traitement automatisé de données (al. 2). Le droit d'accéder aux données est prévu à l'art. 7 LIPD en ces termes : "Sous réserve des exceptions légales, tout intéressé a le droit a.    de s'informer de l'existence d'un fichier soumis à la présente loi, du nom et de l'adresse exacte de l'exploitant responsable, de la nature et du but du fichier, de son contenu et de ses rubriques, des modalités d'accès au fichier, des tiers figurant au registre des transmissions, ainsi que des conditions de ces transmissions; b.    de connaître les données le concernant, les raisonnements utilisés dans les traitements automatisés dont les résultats lui sont opposés, ainsi que les tiers à qui sont transmis ces données et raisonnements. (…) Les renseignements mentionnés aux alinéas 1 et 2 doivent être communiqués par écrit, en texte clair." L'art. 13 LIPD précise ce qui suit : "Les droits d'accès, de rectification et d'opposition prévus aux articles 7 et 8 doivent être exercés personnellement (sous réserve des articles 7, alinéa 2, et 8, alinéa 2) et par écrit, auprès du service exploitant le fichier en cause. Demeure réservé le droit de consulter son dossier selon les règles légales et jurisprudentielles ordinaires." Il est ainsi possible aux administrés de s'adresser aux différents services de l'Etat pour obtenir des renseignements sur l'existence d'un fichier et la manière dont il est exploité (BGC, printemps-septembre 1981, p. 542 à 543). b) Toutefois, comme l'a rappelé le Tribunal administratif, la LIPD ne s'applique qu'aux données automatisées, à l'exclusion des autres documents qui figurent au dossier de la personne concernée, les données traitées manuellement n'étant pas assimilées à celles contenues dans les fichiers informatisés. Il a relevé que cette distinction était pour le moins surprenante au premier abord, d'autant plus que, sur le plan fédéral, le législateur a considéré que la loi fédérale sur la protection des données du 19 juin 1992 (ci-après : LPD ; RS 235.1) devait non seulement s'appliquer aux fichiers informatiques, mais également à ceux qui étaient traités manuellement ou par des procédés intermédiaires. Il est néanmoins parvenu à la conclusion que la législation cantonale était effectivement plus restrictive que le droit fédéral et qu'aucun élément concret ne permettait de penser qu'il fallait lui donner une interprétation différente (arrêt TA GE.2000.0143 du 23 mai 2002, consid. 2a et 2c bb, ainsi que les références et les arrêts cités). La doctrine prévoit que lorsque le droit cantonal se limite - comme en l'occurrence - à réglementer le traitement des données automatisées, on pourra recourir au standard minimum auquel renvoie l'art. 37 LPD pour tout autre type de traitement de données. Cette disposition ne s'applique toutefois que dans les domaines pour lesquels les cantons sont autorité d'exécution du droit fédéral, mais non dans les domaines pour lesquels ils bénéficient de compétences originaires (Rudin, Kommentar zum schweizerischen Datenschutzgesetz, Bâle 1995, n° 16 et 13 ad art. 37 LPD, cité dans l'arrêt GE.2000.0143 susmentionné). En outre, il convient de préciser que la LPD ne s'applique pas aux procédures pendantes civiles, pénales, d'entraide judiciaire internationale ainsi que de droit public et de droit administratif, à l'exception des procédures administratives de première instance (art. 2 al. 2 LPD). b) En l'espèce, on se trouve bien dans un domaine pour lequel les cantons ne sont qu'autorité d'exécution du droit fédéral. L'art. 25 al. 3 de la loi fédérale sur le séjour et l'établissement des étrangers du 26 mars 1931 (ci-après : LSEE ; RS 142.20) ne confère aux cantons que la compétence d'édicter les dispositions nécessaires à l'exécution dedite loi sur leur territoire et de désigner les autorités compétentes, dont ils fixent les droits et les obligations. La législation sur l'entrée, le séjour et l'établissement en Suisse des étrangers relève de la seule compétence de la Confédération (art. 121 al. 1 Cst), les cantons étant tenus de la mettre en oeuvre conformément à la Constitution et à la loi (art. 46 al. 1 Cst). Dans le canton de Vaud, la loi d'application de la LSEE du 29 août 1934 (ci-après : LVLSEE; RSV 142.11) prévoit à son art. 1 er que le Département de la justice, de la police et des affaires militaires (actuellement le Département des institutions et des relations extérieures - ci-après : DIRE) exerce toutes les fonctions relatives à la police des étrangers et à la procédure d'asile qui ne sont pas dévolues à l'autorité fédérale ou que la LVLSEE n'attribue pas à une autre autorité. Cette disposition confirme donc que le canton n'exerce pas une compétence originaire en la matière, mais qu'il agit en tant qu'autorité d'exécution du droit fédéral. Il en résulte que les données non informatisées contenues dans le dossier de la recourante, soit les rapports de police dactylographiés du 19 avril 2001 et du 15 mai 2001, ne sont pas soumises à la LIPD mais aux garanties minimales prévues par la LPD, plus particulièrement aux art. 4, 5 et 25 al. 1 à 3 LPD. Ces dispositions ont la teneur suivante : "Art. 4     Principes 1 Toute collecte de données personnelles ne peut être entreprise que d'une manière           licite. 2 Leur traitement doit être effectué conformément aux principes de la bonne foi et de          la proportionnalité. 3 Les données personnelles ne doivent être traitées que dans le but qui est indiqué            lors de leur collecte, qui est prévu par une loi ou qui ressort des circonstances. Art. 5      Exactitude des données 1 Quiconque traite des données personnelles doit s'assurer qu'elles sont correctes. 2 Toute personne concernée peut requérir la rectification des données inexactes. Art. 25    Prétentions et procédure 1 Quiconque a un intérêt légitime peut exiger de l'organe fédéral responsable qu'il : a.   s'abstienne de procéder à un traitement illicite ; b.   supprime les effets d'un traitement illicite ; c.   constate le caractère illicite du traitement ; 2 Si ni l'exactitude, ni l'inexactitude d'une donnée personnelle ne peut être prouvée, l'organe fédéral doit ajouter à la donnée la mention de son caractère litigieux. 3 Le demandeur peut en particulier demander que l'organe fédéral a.   rectifie les données personnelles, les détruise ou en empêche la communication à des tiers ; b.   publie ou communique à des tiers sa décision, notamment celle de rectifier ou de détruire les données personnelles, d'en interdire la communication ou d'en mentionner le caractère litigieux."</w:t>
      </w:r>
    </w:p>
    <w:p>
      <w:r>
        <w:rPr>
          <w:b/>
        </w:rPr>
        <w:t>E. 5</w:t>
      </w:r>
    </w:p>
    <w:p>
      <w:r>
        <w:t>Le droit constitutionnel fédéral offre également des garanties en matière de protection contre l'emploi abusif des données personnelles. a) La liberté personnelle - qui est en cause dans la présente espèce - est garantie par l'art. 10 al. 2 de la Constitution fédérale (ci-après Cst; RS 101). Elle protège non seulement la liberté de mouvement et l'intégrité corporelle, mais toutes les libertés élémentaires dont l'exercice est indispensable à l'épanouissement de la personnalité (ATF 113 Ia 1, cons. 4b/bb = JT 1986 IV 109, 113). Elle protège l'individu dans l'exercice de sa faculté d'apprécier une situation de fait déterminée et d'agir selon cette appréciation (ATF 112 Ia 100, cons. 5b). Elle oblige le détenteur de la puissance publique à un comportement envers le citoyen qui soit compatible avec le respect de sa personnalité, en particulier sa dignité (ATF 125 I 257 cons. 3b; 113 Ia 257, cons. 4b). Sous l'empire de l'ancienne Constitution fédérale, le Tribunal fédéral avait déjà admis qu'en recueillant des données destinées à l'identification telles que la photographie du visage ou les empreintes digitales, on portait atteinte à la liberté personnelle (ATF 113 Ia 1, cons. 4b/bb, JT 1986 IV 109, 113; ATF 113 Ia 257, cons. 4b). Il considérait également que la saisie, l'établissement, l'utilisation et la conservation de données personnelles étaient des actes qui touchaient à la vie privée de l'individu et constituaient dès lors une ingérence portant atteinte à la liberté personnelle également de nature à entrer dans le champ d'application de l'art. 8 CEDH (ATF 125 I 257, cons. 3b; Auer/Malinverni/Hottelier, Droit constitutionnel suisse, vol II, Berne 2000, n° 317, p. 162; J.-P. Müller, op. cit., p. 45). Il a également considéré que les caractéristiques personnelles de l'individu évoluaient et qu'elles ne devaient pas être indéfiniment figées par la conservation d'anciennes données (ATF 113 Ia 257, cons. 4b). Pour prévenir ces risques, le Tribunal fédéral a jugé qu'il devait être possible à l'intéressé de contrôler l'exactitude des renseignements enregistrés et, le cas échéant, obtenir leur rectification, quand bien même il s'agissait de données strictement personnelles non accessibles à chacun (ATF 113 Ia 257, cons. 4c). Depuis le 1er janvier 2000, date d'entrée en vigueur de la nouvelle constitution fédérale, le droit de consultation, de rectification ou de faire radier les données recueillies sur son compte découle du droit d'être protégé contre l'emploi abusif des données personnelles expressément garanti par l'art. 13 al. 2 Cst relatif à la protection de la sphère privée. (ATF 126 I 7, cons. 2a et 3c/aa). Le Tribunal fédéral considère que la conservation de renseignements porte une atteinte au moins virtuelle à la personnalité de l'intéressé, tant que ceux-ci peuvent être utilisés ou, simplement être consultés par des agents de police, ou être pris en considération lors de demandes d'informations présentées par certaines autorités, voire même être transmis à ces dernières. Au demeurant, il y va également de l'intérêt de l'autorité elle-même à ne détenir que des données utiles et concrètes (ATF 126 I 7, cons. 2a; 113 Ia 1, cons. 4b/bb; ATF 113 Ia 257, cons. 4c). b) Par données personnelles, on entend toute information sur les caractéristiques physiques, psychiques, sociales ou politiques d'un individu, dont font notamment partie les empreintes digitales, les photos ou les fiches (Auer/Malinverni/Hottelier, op. cit. ibid.). La protection s'étend à toutes les données qui peuvent avoir un lien avec la sphère privée de la personne (J.-P. Müller, Grundrechte in der Schweiz, Berne 1999, p. 45), en particulier le nom et son utilisation (RDAF 1999 I 480). Si les arrêts publiés aux ATF 113 Ia 1 et 113 Ia 257 concernaient des données recueillies par des autorités policières, le Tribunal fédéral a également reconnu à l'intéressé un droit d'accès aux données établissant sa filiation (ATF 126 I 257). Il en va également ainsi des données relatives à la correspondance privée, à un traitement médical, ou de celles attestant de l'appartenance à une société, en passant par les informations contenues dans des dossiers de procédure civile, pénale ou administrative (ATF 124 I 34, cons. 3a et la jurisprudence citée; Auer/Malinverni/Hottelier, op. cit., § 310, p. 156). De manière plus générale l'identité, le droit au respect de la vie privée protège la réputation, les relations sociales et les comportements intimes de chaque personne physique (Auer/Malinverni/Hottelier, op. cit., n° 310, p. 156). Cela étant, la garantie offerte par l'art. 13 al. 2 Cst. ne concerne pas seulement la protection des données à caractère personnel, mais s'étend aux informations de toute nature; il est également admis que la formulation de cette disposition est trop limitative, par rapport à la portée réelle qu'on a voulu lui conférer. Elle ne protège pas seulement contre l'utilisation abusive de données personnelles; elle s'étend à tout préjudice auquel l'intéressé pourrait être exposé en relation avec le traitement (Bearbeitung) de ces informations (Thürer/Aubert/Müller et al., Droit constitutionnel suisse, Zürich 2001, n° 29, p. 704). La garantie constitutionnelle existe pour le citoyen en toutes circonstances, sans égard au fait qu'il s'en prévale en tant que patient, consommateur ou dans son activité de commerçant.  La protection des données garantit la réputation, le crédit d'une personne, la confiance que l'on peut lui accorder dans les relations d'affaires et, de manière générale, l'image que les tiers ou le public peuvent avoir d'elle (Thürer/Aubert/Müller et al., op. cit. ibid.). c) Compte tenu de ce qui précède, la recourante peut à l'évidence se prévaloir d'un droit de rang constitutionnel à la protection contre l'emploi abusif des données personnelles la concernant. Ce droit comprend celui de consulter, de rectifier ou de faire radier les données recueillies sur son compte.</w:t>
      </w:r>
    </w:p>
    <w:p>
      <w:r>
        <w:rPr>
          <w:b/>
        </w:rPr>
        <w:t>E. 6</w:t>
      </w:r>
    </w:p>
    <w:p>
      <w:r>
        <w:t>Les règles matérielles ayant été délimitées, il s'agit en second lieu d'examiner la recevabilité des conclusions formulées par A.X._______. Cette dernière a conclu principalement à l'annulation de la décision attaquée et à la destruction, subsidiairement à la correction, du ou des rapports de police établi(s) à son sujet à la suite de l'intervention du 10 avril 2001, et très subsidiairement à l'adjonction d'un complément sous la forme d'une note indiquant que " rien ne permet d'affirmer que Mme X._______ exerçait une activité quelconque dans cet établissement autre que d'y consommer en qualité de cliente ". Comme déjà évoqué ci-dessus, la recourante peut se fonder sur les garanties minimales des art. 5 al. 2 et 25 al. 2 et 3 litt. a LPD ainsi que sur la Cst pour réclamer la rectification ou la destruction des données litigieuses, soit plus particulièrement l'affirmation selon laquelle elle aurait oeuvré le 10 avril 2001, parmi d'autres femmes, en qualité de masseuse et de prostituée au "C._______". Qu'il se fonde sur le dossier de l'autorité intimée ou sur les déclarations des témoins entendus lors de l'audience du 8 mai 2007, le tribunal ne peut que s'étonner des conclusions particulièrement peu nuancées des rapports en cause. A cela s'ajoute le fait que leur fondement même paraît pour le moins fragile. A l'exception des indices invoqués par la Police cantonale, à savoir le fait que la recourante ait été interpellée dans un club de rencontres mixtes, que la lumière y ait été fortement tamisée et que l'intéressée se soit trouvée en petite tenue (selon la recourante, en costume de bains et, aux dires de l'un des inspecteurs, en "sous-vêtements sexy"), aucun des rapports d'audition des personnes s'étant trouvées sur les lieux ne permet de déterminer avec certitude ce qu'y faisait exactement la recourante, plus particulièrement si elle s'y trouvait pour un moment de détente comme elle l'a toujours affirmé ou pour vendre ses charmes. Certes, l'une des prostituées interpellée a déclaré que huit filles travaillaient au "C._______", en précisant leur nationalité respective (soit deux Polonaises, deux Brésiliennes, une Roumaine, une Marocaine et une Africaine; cf. procès-verbal d'audition de N.O._______ du 10 avril 2001). On ignore cependant si elle parlait de leur présence régulière au "C._______" ou seulement de leur présence le jour de l'intervention policière. Pour sa part, la gérante de l'établissement a également indiqué qu'une Africaine mariée à un Suisse venait de temps en temps (cf. procès-verbal d'audition du 25 avril 2001), sans préciser non plus si cette Africaine était la recourante ni si elle se trouvait au club le 10 avril 2001. Dans ces circonstances et à défaut de preuve probante, les déclarations de ces deux personnes ne suffisent manifestement pas pour conclure avec certitude que A.X._______ faisait partie des femmes se livrant à la prostitution le jour en question. De plus, on doit constater qu'aucune des autres personnes interpellées le 10 avril 2001 n'a été interrogée au sujet de la recourante, que ce soit au sujet de sa présence le 10 avril 2001 ou au sujet de sa prétendue activité de prostituée et de masseuse - occasionnelle ou régulière - au "C._______". L'intéressée n'a elle-même jamais été entendue par la police sur ces points ni même au sujet des raisons de sa présence, certes insolite si l'on songe qu'elle n'entendait que profiter des installations du bain turc, dans ce club de rencontres mixtes. Les caporaux D._______ et E._______ ont d'ailleurs précisé que, dans la mesure où la recourante avait un permis de séjour valable, ils n'avaient aucune raison de l'interroger sur les raisons de sa présence au "C._______".</w:t>
      </w:r>
    </w:p>
    <w:p>
      <w:r>
        <w:rPr>
          <w:b/>
        </w:rPr>
        <w:t>E. 7</w:t>
      </w:r>
    </w:p>
    <w:p>
      <w:r>
        <w:t>En conclusion, c'est à juste titre que la recourante a demandé la correction des rapports de police établis à la suite de l'intervention du 10 avril 2001 en ce qui la concernait. Son recours doit donc être admis et la décision attaquée annulée. La Police cantonale sera invitée à établir et à communiquer au SPOP un nouveau rapport - en précisant expressément que ce document annule et remplace le rapport du caporal D._______ du 10 avril 2001 - dont le contenu sera le suivant : " Mardi, 10.04.2001, nous avons procédé à un contrôle dans l'Etablissement public "C._______", club de rencontres mixtes, sauna, bain turc et solarium, situé au Ch. 2._______ , à 1._______. Lors de cette opération, nous avons identifié plusieurs femmes oeuvrant dans ces lieux en qualité de masseuses et prostituées. Rien ne permet d'affirmer que A.Y.X._______, ressortissante guinéenne au bénéfice d'un livret B délivré par le canton de Vaud, également présente sur les lieux, exerçait une activité de ce type." De même, la Police cantonale doit être invitée à rectifier le rapport établi par les caporaux D._______ et E._______ le 15 mai 2001 en ce sens que seule devra y subsister, s'agissant de la recourante, l'indication de sa présence au "C._______" le 10 avril 2001 à l'exclusion de toute mention signifiant qu'elle se livrait dans ces lieux à l'activité de masseuse et/ou de prostituée. Ce nouveau rapport devra être adressé aux mêmes destinataires que celui du 15 mai 2001 et indiquer à ces derniers qu'il l'annule et le remplace.</w:t>
      </w:r>
    </w:p>
    <w:p>
      <w:r>
        <w:rPr>
          <w:b/>
        </w:rPr>
        <w:t>E. 8</w:t>
      </w:r>
    </w:p>
    <w:p>
      <w:r>
        <w:t>Vu l'issue du pourvoi, le présent arrêt sera rendu sans frais. Obtenant gain de cause et ayant procédé par l'intermédiaire d'un mandataire professionnel, la recourante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