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GE.2006.0028 vom 22. Februar 2007</w:t>
      </w:r>
    </w:p>
    <w:p>
      <w:r>
        <w:t>VD Tribunal cantonal, 2007-02-22, FR</w:t>
      </w:r>
    </w:p>
    <w:p>
      <w:r>
        <w:rPr>
          <w:b/>
        </w:rPr>
        <w:t xml:space="preserve">Quelle: </w:t>
      </w:r>
      <w:r>
        <w:t>https://mcp.opencaselaw.ch/entscheid/vd_omni_GE.2006.0028</w:t>
      </w:r>
    </w:p>
    <w:p>
      <w:r>
        <w:t>FR: VD_OMNI GE.2006.0028 du 22 février 2007</w:t>
      </w:r>
    </w:p>
    <w:p>
      <w:r>
        <w:t>IT: VD_OMNI GE.2006.0028 del 22 febbraio 2007</w:t>
      </w:r>
    </w:p>
    <w:p>
      <w:pPr>
        <w:pStyle w:val="Heading2"/>
      </w:pPr>
      <w:r>
        <w:t>Regeste</w:t>
      </w:r>
    </w:p>
    <w:p>
      <w:r>
        <w:t>X._______ /DEPARTEMENT DES INSTITUTIONS ET DES RELATIONS EXTERIEURES | Un courrier de l'autorité informant la recourante de ce que sa requête en changement de nom n'est pas fondée et précisant que, cas échéant, une décision formelle de rejet, sujette à recours auprès du Tribunal administratif, pourrait être rendue constitue-t-elle une décision? Question laissée ouverte. Rejet du recours dans la mesure où recevable.</w:t>
      </w:r>
    </w:p>
    <w:p>
      <w:pPr>
        <w:pStyle w:val="Heading2"/>
      </w:pPr>
      <w:r>
        <w:t>Erwägungen</w:t>
      </w:r>
    </w:p>
    <w:p>
      <w:r>
        <w:rPr>
          <w:b/>
        </w:rPr>
        <w:t>E. 1</w:t>
      </w:r>
    </w:p>
    <w:p>
      <w:r>
        <w:t>a) Au plan formel, on constate que le Service de la population, par l'intermédiaire de la Direction de l'Etat civil, a tout d'abord informé la recourante par courrier du 25 janvier 2006 que sa requête en changement de nom n'était pas fondée en précisant que, cas échéant, une décision formelle de rejet, sujette à recours auprès du Tribunal administratif, pourrait être rendue. Par la suite, le Département des institutions et des relations extérieures a rendu le 7 novembre 2006 une décision formelle de rejet de la demande de changement de nom munie de l'indication de la voie et du délai de recours. La recourante s'est pourvue en temps utile auprès du Tribunal administratif contre la prise de position initiale du Service de la population du 25 janvier 2006. En revanche, elle n'a apparemment pas recouru dans le délai imparti contre la décision formelle rendue le 7 novembre 2006, tout en ayant confirmé à plusieurs reprises sa volonté de poursuivre la procédure et d'obtenir un jugement du Tribunal administratif. Vu ce qui précède, on peut se demander si, formellement, la recourante a agi en temps utile, la réponse dépendant notamment de la question de savoir si la prise de position initiale du Service de la population du 25 janvier 2006 constituait déjà une décision au sens de l'art. 29 LJPA (question tranchée positivement dans l'arrêt TA GE.2005.0216 du 22 mai 2006, consid. 2, concernant le même cas de figure et la même autorité). Dès lors que, pour les motifs évoqués ci-dessous, le recours doit être rejeté au fond, cette question souffre de demeurer indécise. b) L'art. 30 al. 1er du Code civil suisse du 10 décembre 1907 (CC ; RS 210) attribue au gouvernement du canton de domicile la compétence d’autoriser une personne à changer de nom. Dans le canton de Vaud, l'art. 12 ch. 1 de la loi du 30 novembre 1910 d'introduction du Code civil suisse (LVCC ; RSV 211.01) déléguait auparavant cette compétence au Département de la justice, de la police et des affaires militaires, qui l'avait lui-même subdéléguée au chef du Service de justice et législation, en application de l'art. 67 de la loi du 11 février 1970 sur l'organisation du Conseil d'Etat (LOCE ; RSV 172.115). La conformité au droit fédéral d'une telle délégation est généralement admise (voir Bulletin du Grand conseil [BGC], septembre 1954, p. 1148 ; Feuille fédérale [FF] 1974 II p. 95), et le Tribunal administratif avait jugé qu'elle impliquait sa propre compétence pour connaître des recours dirigés contre les décisions du chef du Service de justice et législation en matière de changement de nom (v. art. 4 al. 1 er LJPA ; arrêts TA GE 94/64 du 7 juin 1995 et GE 92/102 du 29 juillet 1994). L’art. 12 ch. 1 LVCC dans sa version actuelle délègue la compétence d’autoriser le changement de nom au Département des institutions et des relations extérieures. Par décision du Conseil d’Etat du 16 décembre 1999, cette compétence a été subdéléguée au chef du Service de la population au 1 er avril 2000, en application du même art. 67 LOCE. Le Tribunal administratif reste compétent pour connaître des recours dirigés contre les décisions en matière de changement de nom, en vertu de l’art. 4 al. 1 er LJPA.</w:t>
      </w:r>
    </w:p>
    <w:p>
      <w:r>
        <w:rPr>
          <w:b/>
        </w:rPr>
        <w:t>E. 2</w:t>
      </w:r>
    </w:p>
    <w:p>
      <w:r>
        <w:t>Selon l'art. 30 al. 1er CC, une personne peut être autorisée à changer de nom s'il existe de justes motifs. Par nom, il faut entendre aussi bien prénom que nom de famille. En règle générale, on admet l'existence de justes motifs pouvant fonder un changement de nom lorsque le nom légal cause à la partie requérante un préjudice sérieux et durable, les intérêts en jeu pouvant être d'ordre moral, spirituel ou affectif (ATF 124 III 402 consid. 2b). Ces intérêts doivent s’apprécier selon des critères objectifs ; les motivations subjectives du porteur du nom n’entrent en principe pas en ligne de compte (arrêt non publié du Tribunal fédéral du 26 juin 2006, en la cause 5C.9/2006, consid. 4.2, et les nombreuses références de doctrine citées). L’intérêt du requérant - en tant qu'individu et de lui seul (ATF 108 II 250 c. 4d) - à porter un nouveau nom doit l’emporter sur l'intérêt de l'administration et de la collectivité à l'immutabilité du nom acquis et inscrit à l'état civil, et sur l'intérêt public à la fonction d'individualisation du nom (ATF 117 II 9). Pour les enfants, en particulier lorsqu'ils sont très jeunes, la fonction d'individualisation de la personne dans ses relations sociales joue un rôle moins important que pour un adulte : l'intérêt général au maintien du nom est moins évident. On peut donc se montrer plus souple (ATF 117 II 9 consid. 3a, 109 II 178 consid. 1, 105 II 243 consid. I 3). Le Tribunal fédéral a d'abord admis assez largement qu'un enfant de parents divorcés, vivant avec sa mère qui s’est remariée, change de nom sur la base de l'art. 30 al. 1 CC pour prendre celui de son beau-père (cf. ATF 99 Ia 561). Il a ensuite modifié sa jurisprudence dans un sens plus restrictif. Il a considéré qu'au vu de l'évolution des conceptions on ne pouvait plus soutenir, à l’heure actuelle, qu’un enfant vivant dans le foyer de sa mère et de son beau-père subissait un préjudice du simple fait qu’il portait un nom différent du reste de la famille. Pour que le changement de nom soit admis, il faut plutôt que l'enfant indique concrètement dans sa requête en quoi le fait de porter un nom différent lui fait subir des désavantages sur le plan social (ATF 124 III 401 consid. 2b/bb, 121 III 145 consid. 2).</w:t>
      </w:r>
    </w:p>
    <w:p>
      <w:r>
        <w:rPr>
          <w:b/>
        </w:rPr>
        <w:t>E. 3</w:t>
      </w:r>
    </w:p>
    <w:p>
      <w:r>
        <w:t>En l’espèce, il y a lieu de relever que la recourante est née en 1971. Il s’agit ainsi d’une personne majeure depuis longtemps, dont l’identité sociale et professionnelle est déjà construite. Il ressort en outre du dossier que son adresse et celle de sa mère, respectivement de son beau-père, ne sont pas les mêmes ; sur ce plan, la recourante est clairement indépendante. Elle ne semble pas non plus dépendre financièrement de sa mère et de son beau-père. Enfin, par son mariage, même si celui-ci est aujourd’hui dissous, elle a marqué formellement qu’elle quittait la cellule familiale formée par sa mère et son beau-père. Pour ces raisons, il convient de tenir strictement compte de l'intérêt de l'administration et de la collectivité à l'immutabilité du nom et de l'intérêt public à la fonction d'individualisation du nom. Certes, dans un arrêt du 7 juin 1995 (cf. arrêt TA GE 94/0064, consid. 4a), le Tribunal administratif avait admis que la majorité de deux jeunes gens n’excluait pas en soi qu’ils prennent le nom de leur beau-père. Il s’agissait toutefois de deux jeunes gens à peine majeurs (18 et 20 ans). En outre, malgré leur âge, il paraissait probable qu'ils passeraient encore plusieurs années dans le foyer formé par leur mère et leur beau-père, au vu des études projetées ; tous deux étaient encore assez loin d'être indépendants et de fonder leur propre foyer (le même arrêt TA, consid. 4b). La situation était donc clairement différente du cas d’espèce. Il faut en outre relever que l’arrêt susmentionné avait été rendu à une époque où le Tribunal fédéral n’avait pas encore durci sa jurisprudence en matière de changement de nom et où il accordait une importance particulière à l’unité du nom de famille. Selon la jurisprudence actuelle du Tribunal fédéral, le changement de nom ne peut être admis que si le nom porté cause de réelles difficultés liées à des circonstances particulières. Le fait de se sentir membre de la famille formée par sa mère et son beau-père n’est rien d’autre qu’un sentiment naturel, qui ne constitue pas à lui seul un juste motif de changement de nom au sens de l’article 30 al. 1 CC (cf. ATF 124 III 403 consid. 2b/bb). La recourante n’avance que des arguments d’ordre affectif. Le souhait qu’elle exprime de porter le nom de personnes qui lui sont chères est bien compréhensible, mais ne suffit pas à lui seul à justifier un changement de nom. Cette solution, certes rigoureuse, doit se comprendre à la lumière du principe de l'immutabilité du nom et de l'intérêt public à la fonction d'individualisation du nom. Il faut aussi relever que l’autorité intimée a offert à la recourante la possibilité de reprendre son nom de jeune fille, nom dont elle s’est accommodée durant 24 ans. Celle-ci n’a pas indiqué quelles circonstances se sont modifiées pour que ce nom ne soit plus supportable à l’heure actuelle. Enfin, concernant la question de l’adjonction d’un nouveau prénom, l’autorité intimée rejette très sommairement la requête dans les considérants de sa décision du 7 novembre 2006. La recourante n’a pour sa part pas fait valoir de motifs pouvant justifier cette modification, si ce n’est celui de vouloir commencer « une nouvelle vie », ce qui n’est clairement pas suffisant au regard des exigences de l’art. 30 CC.</w:t>
      </w:r>
    </w:p>
    <w:p>
      <w:r>
        <w:rPr>
          <w:b/>
        </w:rPr>
        <w:t>E. 4</w:t>
      </w:r>
    </w:p>
    <w:p>
      <w:r>
        <w:t>Il résulte du considérant qui précède que le recours doit être rejeté et la décision attaquée confirmée. Un émolument de justice fixé à 500 fr. sera mis à la charge de la recourante déboutée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