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GE.2006.0022 vom 5. Februar 2007</w:t>
      </w:r>
    </w:p>
    <w:p>
      <w:r>
        <w:t>VD Tribunal cantonal, 2007-02-05, FR</w:t>
      </w:r>
    </w:p>
    <w:p>
      <w:r>
        <w:rPr>
          <w:b/>
        </w:rPr>
        <w:t xml:space="preserve">Quelle: </w:t>
      </w:r>
      <w:r>
        <w:t>https://mcp.opencaselaw.ch/entscheid/vd_omni_GE.2006.0022</w:t>
      </w:r>
    </w:p>
    <w:p>
      <w:r>
        <w:t>FR: VD_OMNI GE.2006.0022 du 5 février 2007</w:t>
      </w:r>
    </w:p>
    <w:p>
      <w:r>
        <w:t>IT: VD_OMNI GE.2006.0022 del 5 febbraio 2007</w:t>
      </w:r>
    </w:p>
    <w:p>
      <w:pPr>
        <w:pStyle w:val="Heading2"/>
      </w:pPr>
      <w:r>
        <w:t>Regeste</w:t>
      </w:r>
    </w:p>
    <w:p>
      <w:r>
        <w:t>Municipalité de Nyon/Département des institutions et des relations extérieures, Département de la santé et de l'action sociale | En matière de péréquation financière, où elle est dépourvue d'autonomie, une commune ne peut pas invoquer l'art. 6 CEDH.</w:t>
      </w:r>
    </w:p>
    <w:p>
      <w:pPr>
        <w:pStyle w:val="Heading2"/>
      </w:pPr>
      <w:r>
        <w:t>Erwägungen</w:t>
      </w:r>
    </w:p>
    <w:p>
      <w:r>
        <w:rPr>
          <w:b/>
        </w:rPr>
        <w:t>E. 1</w:t>
      </w:r>
    </w:p>
    <w:p>
      <w:r>
        <w:t>La recourante s'en prend tant à la lettre du DIRE du 13 janvier 2006 adressée à toutes les communes en annexe à laquelle le montant de sa participation à la facture sociale figurait dans un tableau qu'à la lettre du DSAS du 13 janvier 2006 par laquelle elle se voyait directement réclamer le paiement d'une telle participation. Le caractère attaquable de ces deux actes est nié par l'autorité intimée. Est une décision toute mesure prise par une autorité dans un cas d’espèce et ayant pour objet (a) de créer, de modifier ou d’annuler des droits ou des obligations ; (b) de constater l’existence, l’inexistence ou l’étendue de droits ou d’obligations ; (c) de rejeter ou de déclarer irrecevables les demandes tendant à créer, modifier, annuler ou constater des droits ou obligations (art. 29 al. 2 LJPA). En d’autres termes, la décision implique un acte étatique individuel qui s’adresse à un particulier et qui règle de manière obligatoire et contraignante un rapport juridique concret soumis au droit administratif (ATF 121 II 477 consid. 2a et les réf. citées). La décision se distingue, par ses effets sur la situation ou le comportement de son destinataire, des actes qui n’affectent les droits ou obligations de personnes, en particulier des simples renseignements ou avertissements dépourvus de conséquences juridiques. C’est ainsi qu’un recours dirigé contre une communication, du moment que celle-ci n’a pas pour effet de modifier la situation juridique du recourant, de créer un rapport de droit entre lui et l’administration, ni de l’obliger à une situation passive ou active, est irrecevable (RDAF 1999 p. 400 ; 1984 p. 499 et les réf. citées). En l'espèce, la communication du DIRE du 13 janvier 2006 n'a pas eu d'effet sur la situation juridique de la recourante. Avisant celle-ci de la position qui lui avait été attribuée dans la péréquation ainsi que du montant de la facture sociale la concernant, cet acte n'avait pas d'autre portée, comme il l'exposait lui-même, que celle d'une information "lui permettant de connaître précisément les bases de sa classification provisoire". Aucune conséquence n'était attachée à cette communication, que la recourante recevait comme les autres communes du canton. Elle ne constituait dès lors pas une décision sujette à recours. La lettre du DSAS du 13 janvier 2006 en revanche fixait un montant dû et en réclamait le paiement. Pour cette double opération, l'autorité a agi dans le cadre des compétences qui lui sont attribuées par l'art. 9 du règlement d'application de la loi sur l'organisation et le financement de la politique sociale (RLOF; RSV 850.01.1). Elle a déterminé et communiqué la mesure de l'obligation incombant à la recourante, rendant ainsi une décision attaquable. Cela étant, le recours est recevable contre la seule décision du DSAS.</w:t>
      </w:r>
    </w:p>
    <w:p>
      <w:r>
        <w:rPr>
          <w:b/>
        </w:rPr>
        <w:t>E. 2</w:t>
      </w:r>
    </w:p>
    <w:p>
      <w:r>
        <w:t>La recourante fait valoir les mêmes arguments que ceux qu'elle a invoqués à l'appui de sa requête à la Cour constitutionnelle dirigée contre l'arrêté du Conseil d'Etat du 11 janvier 2006. Elle s'en prend donc à la constitutionnalité de cet acte normatif après qu'il a été contrôlé abstraitement. Rien n'interdit il est vrai de soumettre une décision à un contrôle constitutionnel concret après que la loi sur laquelle elle se fonde a elle-même été contrôlée abstraitement. Mais la démarche de la recourante est vouée à l'échec dès lors qu'elle se borne à invoquer des moyens déjà présentés à la Cour constitutionnelle et que le Tribunal administratif, n'ayant pas de raison de s'écarter du point de vue déjà exprimé par cette autorité au sujet de la conformité de l'arrêté précité à la constitution est en mesure d'adhérer aux motifs de l'arrêt rendu dans la cause CCST.2006.0002. En demandant aujourd'hui une expertise au sujet du mode de calcul de certains facteurs intervenant dans la péréquation, la recourante ne fait que réitérer une requête déjà présentée à la Cour constitutionnelle; pas davantage que celle-ci, le Tribunal administratif ne juge nécessaire d'y donner suite. La recourante ne prétend au surplus pas qu'une erreur aurait été commise dans l'application de l'arrêté précité à son égard, de sorte qu'il n'est pas nécessaire de contrôler le calcul qui a été fait de la part de la facture sociale mise à sa charge. Quant à la tenue d'une audience publique requise par la recourante, elle ne serait en principe exigible que si étaient en jeu des "droits et obligations de caractère civil" au sens de l'art. 6 CEDH (ATF 130 II 425). Cette disposition ne concerne cependant que les contestations entre deux particuliers ou entre une personne privée et une autorité administrative (Villiger, Handbuch der Europäischen Menschenrechtskonvention (EMRK), 2 ème édition, n. 377). On ne voit donc pas que la recourante, qui est dépourvue d'autonomie en matière de péréquation (ATF non publié du 7 novembre 2006, 2P170/2006, consid. 3), puisse prétendre être assimilée à un particulier titulaire de droits et obligations dans ses relations avec l'autorité intimée. A cela s'ajoute qu'à teneur de l'art. 34 CEDH, la Cour européenne ne peut être saisie que par une personne physique, une organisation non gouvernementale ou un groupe de particuliers (cf. Frowein/Peukert, EMRK, 2 ème éd. 1996, n3 ad art. 1). De toute manière, le droit à une audience publique n'est pas absolu et peut être écarté dans des procédures consacrées exclusivement à des points de droit (ATF 124 I 322, consid. 4a, p. 324; ATFA non publié du 8 avril 2004 dans la cause I 573/03, cons. 3.5), comme en l'espèce.</w:t>
      </w:r>
    </w:p>
    <w:p>
      <w:r>
        <w:rPr>
          <w:b/>
        </w:rPr>
        <w:t>E. 3</w:t>
      </w:r>
    </w:p>
    <w:p>
      <w:r>
        <w:t>Déboutée, la recourante supportera un émolument de justice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